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8F6AF8" w14:textId="4668A663" w:rsidR="0097751F" w:rsidRPr="00C52CA8" w:rsidRDefault="00652856">
      <w:pPr>
        <w:rPr>
          <w:rFonts w:ascii="Times New Roman" w:hAnsi="Times New Roman" w:cs="Times New Roman"/>
          <w:b/>
          <w:sz w:val="28"/>
        </w:rPr>
      </w:pPr>
      <w:r w:rsidRPr="00C52CA8">
        <w:rPr>
          <w:rFonts w:ascii="Times New Roman" w:hAnsi="Times New Roman" w:cs="Times New Roman"/>
          <w:b/>
          <w:sz w:val="28"/>
        </w:rPr>
        <w:t>How long does it take to sell a home?</w:t>
      </w:r>
      <w:r w:rsidR="003310FF">
        <w:rPr>
          <w:rFonts w:ascii="Times New Roman" w:hAnsi="Times New Roman" w:cs="Times New Roman"/>
          <w:b/>
          <w:sz w:val="28"/>
        </w:rPr>
        <w:tab/>
      </w:r>
      <w:r w:rsidR="003310FF">
        <w:rPr>
          <w:rFonts w:ascii="Times New Roman" w:hAnsi="Times New Roman" w:cs="Times New Roman"/>
          <w:b/>
          <w:sz w:val="28"/>
        </w:rPr>
        <w:tab/>
      </w:r>
      <w:r w:rsidR="003310FF">
        <w:rPr>
          <w:rFonts w:ascii="Times New Roman" w:hAnsi="Times New Roman" w:cs="Times New Roman"/>
          <w:b/>
          <w:sz w:val="28"/>
        </w:rPr>
        <w:tab/>
        <w:t>Draft Ju</w:t>
      </w:r>
      <w:r w:rsidR="00631405">
        <w:rPr>
          <w:rFonts w:ascii="Times New Roman" w:hAnsi="Times New Roman" w:cs="Times New Roman"/>
          <w:b/>
          <w:sz w:val="28"/>
        </w:rPr>
        <w:t xml:space="preserve">ly </w:t>
      </w:r>
      <w:r w:rsidR="00C26ECE">
        <w:rPr>
          <w:rFonts w:ascii="Times New Roman" w:hAnsi="Times New Roman" w:cs="Times New Roman"/>
          <w:b/>
          <w:sz w:val="28"/>
        </w:rPr>
        <w:t>8</w:t>
      </w:r>
      <w:r w:rsidR="003310FF">
        <w:rPr>
          <w:rFonts w:ascii="Times New Roman" w:hAnsi="Times New Roman" w:cs="Times New Roman"/>
          <w:b/>
          <w:sz w:val="28"/>
        </w:rPr>
        <w:t>, 2019</w:t>
      </w:r>
    </w:p>
    <w:p w14:paraId="3640FC19" w14:textId="7614175B" w:rsidR="00652856" w:rsidRPr="00C52CA8" w:rsidRDefault="00652856">
      <w:pPr>
        <w:rPr>
          <w:rFonts w:ascii="Times New Roman" w:hAnsi="Times New Roman" w:cs="Times New Roman"/>
          <w:sz w:val="28"/>
        </w:rPr>
      </w:pPr>
    </w:p>
    <w:p w14:paraId="7BD0FAD0" w14:textId="35456054" w:rsidR="00652856" w:rsidRPr="000674D7" w:rsidRDefault="00652856">
      <w:pPr>
        <w:rPr>
          <w:rFonts w:ascii="Times New Roman" w:hAnsi="Times New Roman" w:cs="Times New Roman"/>
          <w:sz w:val="24"/>
          <w:szCs w:val="24"/>
        </w:rPr>
      </w:pPr>
      <w:r w:rsidRPr="000674D7">
        <w:rPr>
          <w:rFonts w:ascii="Times New Roman" w:hAnsi="Times New Roman" w:cs="Times New Roman"/>
          <w:sz w:val="24"/>
          <w:szCs w:val="24"/>
        </w:rPr>
        <w:t>Introduction</w:t>
      </w:r>
    </w:p>
    <w:p w14:paraId="0E219350" w14:textId="2A81CB20" w:rsidR="00652856" w:rsidRPr="000674D7" w:rsidRDefault="00652856">
      <w:pPr>
        <w:rPr>
          <w:rFonts w:ascii="Times New Roman" w:hAnsi="Times New Roman" w:cs="Times New Roman"/>
          <w:sz w:val="24"/>
          <w:szCs w:val="24"/>
        </w:rPr>
      </w:pPr>
      <w:r w:rsidRPr="000674D7">
        <w:rPr>
          <w:rFonts w:ascii="Times New Roman" w:hAnsi="Times New Roman" w:cs="Times New Roman"/>
          <w:sz w:val="24"/>
          <w:szCs w:val="24"/>
        </w:rPr>
        <w:t>The answer is not as simple as “that depends on how it is priced?”</w:t>
      </w:r>
      <w:r w:rsidR="00710821">
        <w:rPr>
          <w:rFonts w:ascii="Times New Roman" w:hAnsi="Times New Roman" w:cs="Times New Roman"/>
          <w:sz w:val="24"/>
          <w:szCs w:val="24"/>
        </w:rPr>
        <w:t>, although</w:t>
      </w:r>
      <w:r w:rsidR="000240EE">
        <w:rPr>
          <w:rFonts w:ascii="Times New Roman" w:hAnsi="Times New Roman" w:cs="Times New Roman"/>
          <w:sz w:val="24"/>
          <w:szCs w:val="24"/>
        </w:rPr>
        <w:t xml:space="preserve"> asking</w:t>
      </w:r>
      <w:r w:rsidR="00710821">
        <w:rPr>
          <w:rFonts w:ascii="Times New Roman" w:hAnsi="Times New Roman" w:cs="Times New Roman"/>
          <w:sz w:val="24"/>
          <w:szCs w:val="24"/>
        </w:rPr>
        <w:t xml:space="preserve"> pric</w:t>
      </w:r>
      <w:r w:rsidR="000240EE">
        <w:rPr>
          <w:rFonts w:ascii="Times New Roman" w:hAnsi="Times New Roman" w:cs="Times New Roman"/>
          <w:sz w:val="24"/>
          <w:szCs w:val="24"/>
        </w:rPr>
        <w:t xml:space="preserve">e </w:t>
      </w:r>
      <w:r w:rsidR="00710821">
        <w:rPr>
          <w:rFonts w:ascii="Times New Roman" w:hAnsi="Times New Roman" w:cs="Times New Roman"/>
          <w:sz w:val="24"/>
          <w:szCs w:val="24"/>
        </w:rPr>
        <w:t xml:space="preserve">relative to market value does matter. </w:t>
      </w:r>
      <w:r w:rsidRPr="000674D7">
        <w:rPr>
          <w:rFonts w:ascii="Times New Roman" w:hAnsi="Times New Roman" w:cs="Times New Roman"/>
          <w:sz w:val="24"/>
          <w:szCs w:val="24"/>
        </w:rPr>
        <w:t xml:space="preserve"> </w:t>
      </w:r>
      <w:r w:rsidR="00710821">
        <w:rPr>
          <w:rFonts w:ascii="Times New Roman" w:hAnsi="Times New Roman" w:cs="Times New Roman"/>
          <w:sz w:val="24"/>
          <w:szCs w:val="24"/>
        </w:rPr>
        <w:t>More specificall</w:t>
      </w:r>
      <w:r w:rsidR="00631405">
        <w:rPr>
          <w:rFonts w:ascii="Times New Roman" w:hAnsi="Times New Roman" w:cs="Times New Roman"/>
          <w:sz w:val="24"/>
          <w:szCs w:val="24"/>
        </w:rPr>
        <w:t xml:space="preserve">y, </w:t>
      </w:r>
      <w:r w:rsidR="00B4174D">
        <w:rPr>
          <w:rFonts w:ascii="Times New Roman" w:hAnsi="Times New Roman" w:cs="Times New Roman"/>
          <w:sz w:val="24"/>
          <w:szCs w:val="24"/>
        </w:rPr>
        <w:t xml:space="preserve">how long it takes to sell a home or the </w:t>
      </w:r>
      <w:r w:rsidR="00710821">
        <w:rPr>
          <w:rFonts w:ascii="Times New Roman" w:hAnsi="Times New Roman" w:cs="Times New Roman"/>
          <w:sz w:val="24"/>
          <w:szCs w:val="24"/>
        </w:rPr>
        <w:t xml:space="preserve">time on the market </w:t>
      </w:r>
      <w:r w:rsidRPr="000674D7">
        <w:rPr>
          <w:rFonts w:ascii="Times New Roman" w:hAnsi="Times New Roman" w:cs="Times New Roman"/>
          <w:sz w:val="24"/>
          <w:szCs w:val="24"/>
        </w:rPr>
        <w:t xml:space="preserve">depends on 1) </w:t>
      </w:r>
      <w:r w:rsidR="00B4174D">
        <w:rPr>
          <w:rFonts w:ascii="Times New Roman" w:hAnsi="Times New Roman" w:cs="Times New Roman"/>
          <w:sz w:val="24"/>
          <w:szCs w:val="24"/>
        </w:rPr>
        <w:t>the pricing strategy</w:t>
      </w:r>
      <w:r w:rsidRPr="000674D7">
        <w:rPr>
          <w:rFonts w:ascii="Times New Roman" w:hAnsi="Times New Roman" w:cs="Times New Roman"/>
          <w:sz w:val="24"/>
          <w:szCs w:val="24"/>
        </w:rPr>
        <w:t>, 2) market conditions, 3) the season, 4) the price range of the home, and 5) how well it is marketed.</w:t>
      </w:r>
      <w:r w:rsidR="00710821">
        <w:rPr>
          <w:rFonts w:ascii="Times New Roman" w:hAnsi="Times New Roman" w:cs="Times New Roman"/>
          <w:sz w:val="24"/>
          <w:szCs w:val="24"/>
        </w:rPr>
        <w:t xml:space="preserve">  How well it is marketed is beyond the scope of the discussion here, but certainly experienced agents are better at pricing and staging a home for sale.  We can address the other factors and do so here</w:t>
      </w:r>
      <w:r w:rsidRPr="000674D7">
        <w:rPr>
          <w:rFonts w:ascii="Times New Roman" w:hAnsi="Times New Roman" w:cs="Times New Roman"/>
          <w:sz w:val="24"/>
          <w:szCs w:val="24"/>
        </w:rPr>
        <w:t>.</w:t>
      </w:r>
      <w:r w:rsidR="00B4174D">
        <w:rPr>
          <w:rFonts w:ascii="Times New Roman" w:hAnsi="Times New Roman" w:cs="Times New Roman"/>
          <w:sz w:val="24"/>
          <w:szCs w:val="24"/>
        </w:rPr>
        <w:t xml:space="preserve"> The following sections address each of these factors in turn. Towards the end of the article we conduct some empirical tests that test how well each of these factors explain how long it takes to sell a home. </w:t>
      </w:r>
    </w:p>
    <w:p w14:paraId="058F2D43" w14:textId="07BAF355" w:rsidR="00652856" w:rsidRDefault="00652856">
      <w:pPr>
        <w:rPr>
          <w:rFonts w:ascii="Times New Roman" w:hAnsi="Times New Roman" w:cs="Times New Roman"/>
          <w:sz w:val="24"/>
          <w:szCs w:val="24"/>
        </w:rPr>
      </w:pPr>
    </w:p>
    <w:p w14:paraId="38F169D6" w14:textId="1C1427A9" w:rsidR="004F1DAD" w:rsidRDefault="004F1DAD">
      <w:pPr>
        <w:rPr>
          <w:rFonts w:ascii="Times New Roman" w:hAnsi="Times New Roman" w:cs="Times New Roman"/>
          <w:sz w:val="24"/>
          <w:szCs w:val="24"/>
        </w:rPr>
      </w:pPr>
      <w:r>
        <w:rPr>
          <w:rFonts w:ascii="Times New Roman" w:hAnsi="Times New Roman" w:cs="Times New Roman"/>
          <w:sz w:val="24"/>
          <w:szCs w:val="24"/>
        </w:rPr>
        <w:t>I</w:t>
      </w:r>
      <w:r w:rsidR="000240EE">
        <w:rPr>
          <w:rFonts w:ascii="Times New Roman" w:hAnsi="Times New Roman" w:cs="Times New Roman"/>
          <w:sz w:val="24"/>
          <w:szCs w:val="24"/>
        </w:rPr>
        <w:t>.</w:t>
      </w:r>
      <w:r>
        <w:rPr>
          <w:rFonts w:ascii="Times New Roman" w:hAnsi="Times New Roman" w:cs="Times New Roman"/>
          <w:sz w:val="24"/>
          <w:szCs w:val="24"/>
        </w:rPr>
        <w:t xml:space="preserve"> Pricing </w:t>
      </w:r>
      <w:r w:rsidR="00B4174D">
        <w:rPr>
          <w:rFonts w:ascii="Times New Roman" w:hAnsi="Times New Roman" w:cs="Times New Roman"/>
          <w:sz w:val="24"/>
          <w:szCs w:val="24"/>
        </w:rPr>
        <w:t>Strategy</w:t>
      </w:r>
    </w:p>
    <w:p w14:paraId="27E477DE" w14:textId="7F56CB52" w:rsidR="00B4174D" w:rsidRDefault="00B4174D" w:rsidP="00BE7B3E">
      <w:pPr>
        <w:rPr>
          <w:rFonts w:ascii="Times New Roman" w:hAnsi="Times New Roman" w:cs="Times New Roman"/>
          <w:bCs/>
          <w:sz w:val="24"/>
          <w:szCs w:val="24"/>
        </w:rPr>
      </w:pPr>
      <w:r>
        <w:rPr>
          <w:rFonts w:ascii="Times New Roman" w:hAnsi="Times New Roman" w:cs="Times New Roman"/>
          <w:bCs/>
          <w:sz w:val="24"/>
          <w:szCs w:val="24"/>
        </w:rPr>
        <w:t xml:space="preserve">The decision on how to </w:t>
      </w:r>
      <w:r w:rsidR="00631405">
        <w:rPr>
          <w:rFonts w:ascii="Times New Roman" w:hAnsi="Times New Roman" w:cs="Times New Roman"/>
          <w:bCs/>
          <w:sz w:val="24"/>
          <w:szCs w:val="24"/>
        </w:rPr>
        <w:t xml:space="preserve">price </w:t>
      </w:r>
      <w:r>
        <w:rPr>
          <w:rFonts w:ascii="Times New Roman" w:hAnsi="Times New Roman" w:cs="Times New Roman"/>
          <w:bCs/>
          <w:sz w:val="24"/>
          <w:szCs w:val="24"/>
        </w:rPr>
        <w:t xml:space="preserve">a property </w:t>
      </w:r>
      <w:r w:rsidR="00631405">
        <w:rPr>
          <w:rFonts w:ascii="Times New Roman" w:hAnsi="Times New Roman" w:cs="Times New Roman"/>
          <w:bCs/>
          <w:sz w:val="24"/>
          <w:szCs w:val="24"/>
        </w:rPr>
        <w:t>for sale</w:t>
      </w:r>
      <w:r>
        <w:rPr>
          <w:rFonts w:ascii="Times New Roman" w:hAnsi="Times New Roman" w:cs="Times New Roman"/>
          <w:bCs/>
          <w:sz w:val="24"/>
          <w:szCs w:val="24"/>
        </w:rPr>
        <w:t xml:space="preserve"> is nuanced, has varied over time</w:t>
      </w:r>
      <w:r w:rsidR="00631405">
        <w:rPr>
          <w:rFonts w:ascii="Times New Roman" w:hAnsi="Times New Roman" w:cs="Times New Roman"/>
          <w:bCs/>
          <w:sz w:val="24"/>
          <w:szCs w:val="24"/>
        </w:rPr>
        <w:t>, market conditions,</w:t>
      </w:r>
      <w:r>
        <w:rPr>
          <w:rFonts w:ascii="Times New Roman" w:hAnsi="Times New Roman" w:cs="Times New Roman"/>
          <w:bCs/>
          <w:sz w:val="24"/>
          <w:szCs w:val="24"/>
        </w:rPr>
        <w:t xml:space="preserve"> and across </w:t>
      </w:r>
      <w:r w:rsidR="00631405">
        <w:rPr>
          <w:rFonts w:ascii="Times New Roman" w:hAnsi="Times New Roman" w:cs="Times New Roman"/>
          <w:bCs/>
          <w:sz w:val="24"/>
          <w:szCs w:val="24"/>
        </w:rPr>
        <w:t>markets</w:t>
      </w:r>
      <w:r>
        <w:rPr>
          <w:rFonts w:ascii="Times New Roman" w:hAnsi="Times New Roman" w:cs="Times New Roman"/>
          <w:bCs/>
          <w:sz w:val="24"/>
          <w:szCs w:val="24"/>
        </w:rPr>
        <w:t xml:space="preserve">. The reason there </w:t>
      </w:r>
      <w:r w:rsidR="00B75CB2">
        <w:rPr>
          <w:rFonts w:ascii="Times New Roman" w:hAnsi="Times New Roman" w:cs="Times New Roman"/>
          <w:bCs/>
          <w:sz w:val="24"/>
          <w:szCs w:val="24"/>
        </w:rPr>
        <w:t xml:space="preserve">even </w:t>
      </w:r>
      <w:r>
        <w:rPr>
          <w:rFonts w:ascii="Times New Roman" w:hAnsi="Times New Roman" w:cs="Times New Roman"/>
          <w:bCs/>
          <w:sz w:val="24"/>
          <w:szCs w:val="24"/>
        </w:rPr>
        <w:t>exists a pricing strategy is primarily because housing is compl</w:t>
      </w:r>
      <w:r w:rsidR="00631405">
        <w:rPr>
          <w:rFonts w:ascii="Times New Roman" w:hAnsi="Times New Roman" w:cs="Times New Roman"/>
          <w:bCs/>
          <w:sz w:val="24"/>
          <w:szCs w:val="24"/>
        </w:rPr>
        <w:t>ex bundle of goods</w:t>
      </w:r>
      <w:r>
        <w:rPr>
          <w:rFonts w:ascii="Times New Roman" w:hAnsi="Times New Roman" w:cs="Times New Roman"/>
          <w:bCs/>
          <w:sz w:val="24"/>
          <w:szCs w:val="24"/>
        </w:rPr>
        <w:t xml:space="preserve"> and </w:t>
      </w:r>
      <w:r w:rsidR="00631405">
        <w:rPr>
          <w:rFonts w:ascii="Times New Roman" w:hAnsi="Times New Roman" w:cs="Times New Roman"/>
          <w:bCs/>
          <w:sz w:val="24"/>
          <w:szCs w:val="24"/>
        </w:rPr>
        <w:t>some are more unique than others</w:t>
      </w:r>
      <w:r>
        <w:rPr>
          <w:rFonts w:ascii="Times New Roman" w:hAnsi="Times New Roman" w:cs="Times New Roman"/>
          <w:bCs/>
          <w:sz w:val="24"/>
          <w:szCs w:val="24"/>
        </w:rPr>
        <w:t xml:space="preserve">. </w:t>
      </w:r>
      <w:r w:rsidR="00631405">
        <w:rPr>
          <w:rFonts w:ascii="Times New Roman" w:hAnsi="Times New Roman" w:cs="Times New Roman"/>
          <w:bCs/>
          <w:sz w:val="24"/>
          <w:szCs w:val="24"/>
        </w:rPr>
        <w:t>Buyers are also unique, possessing difference levels of information, relying on different sources of information, some with aligned interests and some that only imply their interests are aligned. E</w:t>
      </w:r>
      <w:r w:rsidR="00B75CB2">
        <w:rPr>
          <w:rFonts w:ascii="Times New Roman" w:hAnsi="Times New Roman" w:cs="Times New Roman"/>
          <w:bCs/>
          <w:sz w:val="24"/>
          <w:szCs w:val="24"/>
        </w:rPr>
        <w:t>ach person will value a</w:t>
      </w:r>
      <w:r w:rsidR="00631405">
        <w:rPr>
          <w:rFonts w:ascii="Times New Roman" w:hAnsi="Times New Roman" w:cs="Times New Roman"/>
          <w:bCs/>
          <w:sz w:val="24"/>
          <w:szCs w:val="24"/>
        </w:rPr>
        <w:t xml:space="preserve">ny given </w:t>
      </w:r>
      <w:r w:rsidR="00B75CB2">
        <w:rPr>
          <w:rFonts w:ascii="Times New Roman" w:hAnsi="Times New Roman" w:cs="Times New Roman"/>
          <w:bCs/>
          <w:sz w:val="24"/>
          <w:szCs w:val="24"/>
        </w:rPr>
        <w:t>property differently. As a result</w:t>
      </w:r>
      <w:r w:rsidR="00631405">
        <w:rPr>
          <w:rFonts w:ascii="Times New Roman" w:hAnsi="Times New Roman" w:cs="Times New Roman"/>
          <w:bCs/>
          <w:sz w:val="24"/>
          <w:szCs w:val="24"/>
        </w:rPr>
        <w:t xml:space="preserve"> of different values or reservation prices</w:t>
      </w:r>
      <w:r w:rsidR="00B75CB2">
        <w:rPr>
          <w:rFonts w:ascii="Times New Roman" w:hAnsi="Times New Roman" w:cs="Times New Roman"/>
          <w:bCs/>
          <w:sz w:val="24"/>
          <w:szCs w:val="24"/>
        </w:rPr>
        <w:t xml:space="preserve">, a transaction eventually turns into a negotiation between potential buyers and the seller. The starting point of the negotiation is the listing price of the property. As with many things in life, the path you take and how you get started can have important implications on the outcome. This </w:t>
      </w:r>
      <w:r w:rsidR="00631405">
        <w:rPr>
          <w:rFonts w:ascii="Times New Roman" w:hAnsi="Times New Roman" w:cs="Times New Roman"/>
          <w:bCs/>
          <w:sz w:val="24"/>
          <w:szCs w:val="24"/>
        </w:rPr>
        <w:t>discussion below</w:t>
      </w:r>
      <w:r w:rsidR="00B75CB2">
        <w:rPr>
          <w:rFonts w:ascii="Times New Roman" w:hAnsi="Times New Roman" w:cs="Times New Roman"/>
          <w:bCs/>
          <w:sz w:val="24"/>
          <w:szCs w:val="24"/>
        </w:rPr>
        <w:t xml:space="preserve"> is concerned with the interaction of the listing price and how long it takes to sell the property.  </w:t>
      </w:r>
    </w:p>
    <w:p w14:paraId="53B9E21D" w14:textId="60FCE668" w:rsidR="00BE7B3E" w:rsidRDefault="004F1DAD" w:rsidP="00BE7B3E">
      <w:pPr>
        <w:rPr>
          <w:rFonts w:ascii="Times New Roman" w:hAnsi="Times New Roman" w:cs="Times New Roman"/>
          <w:bCs/>
          <w:sz w:val="24"/>
          <w:szCs w:val="24"/>
        </w:rPr>
      </w:pPr>
      <w:r w:rsidRPr="004F1DAD">
        <w:rPr>
          <w:rFonts w:ascii="Times New Roman" w:hAnsi="Times New Roman" w:cs="Times New Roman"/>
          <w:bCs/>
          <w:sz w:val="24"/>
          <w:szCs w:val="24"/>
        </w:rPr>
        <w:t xml:space="preserve">Among the earliest studies on pricing and time on the market was Cubin (1974).  The </w:t>
      </w:r>
      <w:r w:rsidR="00B75CB2">
        <w:rPr>
          <w:rFonts w:ascii="Times New Roman" w:hAnsi="Times New Roman" w:cs="Times New Roman"/>
          <w:bCs/>
          <w:sz w:val="24"/>
          <w:szCs w:val="24"/>
        </w:rPr>
        <w:t xml:space="preserve">primary </w:t>
      </w:r>
      <w:r w:rsidRPr="004F1DAD">
        <w:rPr>
          <w:rFonts w:ascii="Times New Roman" w:hAnsi="Times New Roman" w:cs="Times New Roman"/>
          <w:bCs/>
          <w:sz w:val="24"/>
          <w:szCs w:val="24"/>
        </w:rPr>
        <w:t>challenge</w:t>
      </w:r>
      <w:r w:rsidR="00B75CB2">
        <w:rPr>
          <w:rFonts w:ascii="Times New Roman" w:hAnsi="Times New Roman" w:cs="Times New Roman"/>
          <w:bCs/>
          <w:sz w:val="24"/>
          <w:szCs w:val="24"/>
        </w:rPr>
        <w:t xml:space="preserve"> for all empirical papers is to determine </w:t>
      </w:r>
      <w:r w:rsidR="00DF30B1">
        <w:rPr>
          <w:rFonts w:ascii="Times New Roman" w:hAnsi="Times New Roman" w:cs="Times New Roman"/>
          <w:bCs/>
          <w:sz w:val="24"/>
          <w:szCs w:val="24"/>
        </w:rPr>
        <w:t xml:space="preserve">whether </w:t>
      </w:r>
      <w:r w:rsidR="00B75CB2">
        <w:rPr>
          <w:rFonts w:ascii="Times New Roman" w:hAnsi="Times New Roman" w:cs="Times New Roman"/>
          <w:bCs/>
          <w:sz w:val="24"/>
          <w:szCs w:val="24"/>
        </w:rPr>
        <w:t>the listing price is higher or lower than the true market value. In the 1970s this was a very difficult to accomplish</w:t>
      </w:r>
      <w:r w:rsidR="00935176">
        <w:rPr>
          <w:rFonts w:ascii="Times New Roman" w:hAnsi="Times New Roman" w:cs="Times New Roman"/>
          <w:bCs/>
          <w:sz w:val="24"/>
          <w:szCs w:val="24"/>
        </w:rPr>
        <w:t xml:space="preserve">. </w:t>
      </w:r>
      <w:r w:rsidR="00DF30B1">
        <w:rPr>
          <w:rFonts w:ascii="Times New Roman" w:hAnsi="Times New Roman" w:cs="Times New Roman"/>
          <w:bCs/>
          <w:sz w:val="24"/>
          <w:szCs w:val="24"/>
        </w:rPr>
        <w:t xml:space="preserve"> </w:t>
      </w:r>
      <w:r w:rsidR="00935176">
        <w:rPr>
          <w:rFonts w:ascii="Times New Roman" w:hAnsi="Times New Roman" w:cs="Times New Roman"/>
          <w:bCs/>
          <w:sz w:val="24"/>
          <w:szCs w:val="24"/>
        </w:rPr>
        <w:t>Cubin (1974) introduced</w:t>
      </w:r>
      <w:r w:rsidRPr="004F1DAD">
        <w:rPr>
          <w:rFonts w:ascii="Times New Roman" w:hAnsi="Times New Roman" w:cs="Times New Roman"/>
          <w:bCs/>
          <w:sz w:val="24"/>
          <w:szCs w:val="24"/>
        </w:rPr>
        <w:t xml:space="preserve"> the notion that pricing mattered and affected</w:t>
      </w:r>
      <w:r w:rsidR="00935176">
        <w:rPr>
          <w:rFonts w:ascii="Times New Roman" w:hAnsi="Times New Roman" w:cs="Times New Roman"/>
          <w:bCs/>
          <w:sz w:val="24"/>
          <w:szCs w:val="24"/>
        </w:rPr>
        <w:t xml:space="preserve"> how long it took to sell the property</w:t>
      </w:r>
      <w:r w:rsidRPr="004F1DAD">
        <w:rPr>
          <w:rFonts w:ascii="Times New Roman" w:hAnsi="Times New Roman" w:cs="Times New Roman"/>
          <w:bCs/>
          <w:sz w:val="24"/>
          <w:szCs w:val="24"/>
        </w:rPr>
        <w:t>.</w:t>
      </w:r>
      <w:r w:rsidR="00DF30B1">
        <w:rPr>
          <w:rFonts w:ascii="Times New Roman" w:hAnsi="Times New Roman" w:cs="Times New Roman"/>
          <w:bCs/>
          <w:sz w:val="24"/>
          <w:szCs w:val="24"/>
        </w:rPr>
        <w:t xml:space="preserve"> Research by Miller (1978) had suggested it was not possible to maximize both selling price and minimize selling time.</w:t>
      </w:r>
      <w:r w:rsidR="00DF30B1" w:rsidRPr="004F1DAD">
        <w:rPr>
          <w:rFonts w:ascii="Times New Roman" w:hAnsi="Times New Roman" w:cs="Times New Roman"/>
          <w:bCs/>
          <w:sz w:val="24"/>
          <w:szCs w:val="24"/>
        </w:rPr>
        <w:t xml:space="preserve"> </w:t>
      </w:r>
      <w:r w:rsidR="00DF30B1">
        <w:rPr>
          <w:rFonts w:ascii="Times New Roman" w:hAnsi="Times New Roman" w:cs="Times New Roman"/>
          <w:bCs/>
          <w:sz w:val="24"/>
          <w:szCs w:val="24"/>
        </w:rPr>
        <w:t>A lower price relative to market value would generally result in a faster sale, but not necessarily at the highest price.</w:t>
      </w:r>
      <w:r w:rsidR="00DF30B1" w:rsidRPr="004F1DAD">
        <w:rPr>
          <w:rFonts w:ascii="Times New Roman" w:hAnsi="Times New Roman" w:cs="Times New Roman"/>
          <w:bCs/>
          <w:sz w:val="24"/>
          <w:szCs w:val="24"/>
        </w:rPr>
        <w:t xml:space="preserve"> </w:t>
      </w:r>
      <w:r w:rsidR="00DF30B1">
        <w:rPr>
          <w:rFonts w:ascii="Times New Roman" w:hAnsi="Times New Roman" w:cs="Times New Roman"/>
          <w:bCs/>
          <w:sz w:val="24"/>
          <w:szCs w:val="24"/>
        </w:rPr>
        <w:t>We also know that different influencers on buyer and seller behavior affected pricing.  This is because d</w:t>
      </w:r>
      <w:r w:rsidR="00935176">
        <w:rPr>
          <w:rFonts w:ascii="Times New Roman" w:hAnsi="Times New Roman" w:cs="Times New Roman"/>
          <w:bCs/>
          <w:sz w:val="24"/>
          <w:szCs w:val="24"/>
        </w:rPr>
        <w:t>ifferent parties involved in the sale of a property have different incentives. For example</w:t>
      </w:r>
      <w:r w:rsidR="00DF30B1">
        <w:rPr>
          <w:rFonts w:ascii="Times New Roman" w:hAnsi="Times New Roman" w:cs="Times New Roman"/>
          <w:bCs/>
          <w:sz w:val="24"/>
          <w:szCs w:val="24"/>
        </w:rPr>
        <w:t>,</w:t>
      </w:r>
      <w:r w:rsidR="00935176">
        <w:rPr>
          <w:rFonts w:ascii="Times New Roman" w:hAnsi="Times New Roman" w:cs="Times New Roman"/>
          <w:bCs/>
          <w:sz w:val="24"/>
          <w:szCs w:val="24"/>
        </w:rPr>
        <w:t xml:space="preserve"> brokers may be more focused on the ease and speed of the sale, while the owner may be more focused on maximizing the selling price. </w:t>
      </w:r>
      <w:proofErr w:type="spellStart"/>
      <w:r w:rsidR="00DF30B1" w:rsidRPr="004F1DAD">
        <w:rPr>
          <w:rFonts w:ascii="Times New Roman" w:hAnsi="Times New Roman" w:cs="Times New Roman"/>
          <w:bCs/>
          <w:sz w:val="24"/>
          <w:szCs w:val="24"/>
        </w:rPr>
        <w:t>Geltner</w:t>
      </w:r>
      <w:proofErr w:type="spellEnd"/>
      <w:r w:rsidR="00DF30B1" w:rsidRPr="004F1DAD">
        <w:rPr>
          <w:rFonts w:ascii="Times New Roman" w:hAnsi="Times New Roman" w:cs="Times New Roman"/>
          <w:bCs/>
          <w:sz w:val="24"/>
          <w:szCs w:val="24"/>
        </w:rPr>
        <w:t>, Kluger and Miller (1991) examined pricing in the context of broker efforts and probability of sale</w:t>
      </w:r>
      <w:r w:rsidR="00DF30B1">
        <w:rPr>
          <w:rFonts w:ascii="Times New Roman" w:hAnsi="Times New Roman" w:cs="Times New Roman"/>
          <w:bCs/>
          <w:sz w:val="24"/>
          <w:szCs w:val="24"/>
        </w:rPr>
        <w:t xml:space="preserve">. Their results </w:t>
      </w:r>
      <w:r w:rsidR="00DF30B1" w:rsidRPr="004F1DAD">
        <w:rPr>
          <w:rFonts w:ascii="Times New Roman" w:hAnsi="Times New Roman" w:cs="Times New Roman"/>
          <w:bCs/>
          <w:sz w:val="24"/>
          <w:szCs w:val="24"/>
        </w:rPr>
        <w:t>suggested that lower asking prices were in the interests of brokers</w:t>
      </w:r>
      <w:r w:rsidR="00DF30B1">
        <w:rPr>
          <w:rFonts w:ascii="Times New Roman" w:hAnsi="Times New Roman" w:cs="Times New Roman"/>
          <w:bCs/>
          <w:sz w:val="24"/>
          <w:szCs w:val="24"/>
        </w:rPr>
        <w:t>,</w:t>
      </w:r>
      <w:r w:rsidR="00DF30B1" w:rsidRPr="004F1DAD">
        <w:rPr>
          <w:rFonts w:ascii="Times New Roman" w:hAnsi="Times New Roman" w:cs="Times New Roman"/>
          <w:bCs/>
          <w:sz w:val="24"/>
          <w:szCs w:val="24"/>
        </w:rPr>
        <w:t xml:space="preserve"> but not sellers.</w:t>
      </w:r>
    </w:p>
    <w:p w14:paraId="1013DCEC" w14:textId="29295A6E" w:rsidR="00BE7B3E" w:rsidRPr="00BE7B3E" w:rsidRDefault="00BE7B3E" w:rsidP="00BE7B3E">
      <w:pPr>
        <w:rPr>
          <w:rFonts w:ascii="Times New Roman" w:hAnsi="Times New Roman" w:cs="Times New Roman"/>
          <w:bCs/>
          <w:sz w:val="24"/>
          <w:szCs w:val="24"/>
        </w:rPr>
      </w:pPr>
      <w:r w:rsidRPr="00BE7B3E">
        <w:rPr>
          <w:rFonts w:ascii="Times New Roman" w:hAnsi="Times New Roman" w:cs="Times New Roman"/>
          <w:bCs/>
          <w:sz w:val="24"/>
          <w:szCs w:val="24"/>
        </w:rPr>
        <w:lastRenderedPageBreak/>
        <w:t xml:space="preserve">Merlo, </w:t>
      </w:r>
      <w:proofErr w:type="spellStart"/>
      <w:r w:rsidRPr="00BE7B3E">
        <w:rPr>
          <w:rFonts w:ascii="Times New Roman" w:hAnsi="Times New Roman" w:cs="Times New Roman"/>
          <w:bCs/>
          <w:sz w:val="24"/>
          <w:szCs w:val="24"/>
        </w:rPr>
        <w:t>Ortalo-Magne</w:t>
      </w:r>
      <w:proofErr w:type="spellEnd"/>
      <w:r w:rsidRPr="00BE7B3E">
        <w:rPr>
          <w:rFonts w:ascii="Times New Roman" w:hAnsi="Times New Roman" w:cs="Times New Roman"/>
          <w:bCs/>
          <w:sz w:val="24"/>
          <w:szCs w:val="24"/>
        </w:rPr>
        <w:t xml:space="preserve"> and Rust (2013) assume the seller wants to maximize the net present value of the home and utilize a framework with a discount rate and introduce the ability to change list price.  In a sample of 780 English homes sold between 1995 and 1998 they utilize a rich data set of offers and list price modifications, concluding that list prices are sticky due to minor but significant costs required to change the list price.</w:t>
      </w:r>
      <w:r w:rsidR="00C60BB6">
        <w:rPr>
          <w:rStyle w:val="FootnoteReference"/>
          <w:rFonts w:ascii="Times New Roman" w:hAnsi="Times New Roman" w:cs="Times New Roman"/>
          <w:bCs/>
          <w:sz w:val="24"/>
          <w:szCs w:val="24"/>
        </w:rPr>
        <w:footnoteReference w:id="1"/>
      </w:r>
      <w:r w:rsidRPr="00BE7B3E">
        <w:rPr>
          <w:rFonts w:ascii="Times New Roman" w:hAnsi="Times New Roman" w:cs="Times New Roman"/>
          <w:bCs/>
          <w:sz w:val="24"/>
          <w:szCs w:val="24"/>
        </w:rPr>
        <w:t xml:space="preserve">  They find it rare to see bids above list price and also note that buyer arrivals are sensitive to changes in price. One interesting result from their study is that underpricing can bring more buyers in the door, thus it should shorten time on the market</w:t>
      </w:r>
      <w:r w:rsidR="00935176">
        <w:rPr>
          <w:rFonts w:ascii="Times New Roman" w:hAnsi="Times New Roman" w:cs="Times New Roman"/>
          <w:bCs/>
          <w:sz w:val="24"/>
          <w:szCs w:val="24"/>
        </w:rPr>
        <w:t>. Even after this shorter marketing time, this</w:t>
      </w:r>
      <w:r w:rsidR="00DF30B1">
        <w:rPr>
          <w:rFonts w:ascii="Times New Roman" w:hAnsi="Times New Roman" w:cs="Times New Roman"/>
          <w:bCs/>
          <w:sz w:val="24"/>
          <w:szCs w:val="24"/>
        </w:rPr>
        <w:t xml:space="preserve"> </w:t>
      </w:r>
      <w:r w:rsidR="00935176">
        <w:rPr>
          <w:rFonts w:ascii="Times New Roman" w:hAnsi="Times New Roman" w:cs="Times New Roman"/>
          <w:bCs/>
          <w:sz w:val="24"/>
          <w:szCs w:val="24"/>
        </w:rPr>
        <w:t xml:space="preserve">strategy </w:t>
      </w:r>
      <w:r w:rsidR="00D93377">
        <w:rPr>
          <w:rFonts w:ascii="Times New Roman" w:hAnsi="Times New Roman" w:cs="Times New Roman"/>
          <w:bCs/>
          <w:sz w:val="24"/>
          <w:szCs w:val="24"/>
        </w:rPr>
        <w:t xml:space="preserve">generally </w:t>
      </w:r>
      <w:r w:rsidRPr="00BE7B3E">
        <w:rPr>
          <w:rFonts w:ascii="Times New Roman" w:hAnsi="Times New Roman" w:cs="Times New Roman"/>
          <w:bCs/>
          <w:sz w:val="24"/>
          <w:szCs w:val="24"/>
        </w:rPr>
        <w:t>results in a lower net value for the seller.  This is in contrast to the Han and Strange (2013) results discussed below.</w:t>
      </w:r>
    </w:p>
    <w:p w14:paraId="09D2E0C7" w14:textId="4C5E4C09" w:rsidR="00BE7B3E" w:rsidRPr="00BE7B3E" w:rsidRDefault="00935176" w:rsidP="00BE7B3E">
      <w:pPr>
        <w:rPr>
          <w:rFonts w:ascii="Times New Roman" w:hAnsi="Times New Roman" w:cs="Times New Roman"/>
          <w:bCs/>
          <w:sz w:val="24"/>
          <w:szCs w:val="24"/>
        </w:rPr>
      </w:pPr>
      <w:r>
        <w:rPr>
          <w:rFonts w:ascii="Times New Roman" w:hAnsi="Times New Roman" w:cs="Times New Roman"/>
          <w:bCs/>
          <w:sz w:val="24"/>
          <w:szCs w:val="24"/>
        </w:rPr>
        <w:t>Using data from the 1980s,</w:t>
      </w:r>
      <w:r w:rsidR="00BE7B3E" w:rsidRPr="00BE7B3E">
        <w:rPr>
          <w:rFonts w:ascii="Times New Roman" w:hAnsi="Times New Roman" w:cs="Times New Roman"/>
          <w:bCs/>
          <w:sz w:val="24"/>
          <w:szCs w:val="24"/>
        </w:rPr>
        <w:t xml:space="preserve"> Miller and </w:t>
      </w:r>
      <w:proofErr w:type="spellStart"/>
      <w:r w:rsidR="00BE7B3E" w:rsidRPr="00BE7B3E">
        <w:rPr>
          <w:rFonts w:ascii="Times New Roman" w:hAnsi="Times New Roman" w:cs="Times New Roman"/>
          <w:bCs/>
          <w:sz w:val="24"/>
          <w:szCs w:val="24"/>
        </w:rPr>
        <w:t>Sklarz</w:t>
      </w:r>
      <w:proofErr w:type="spellEnd"/>
      <w:r w:rsidR="00BE7B3E" w:rsidRPr="00BE7B3E">
        <w:rPr>
          <w:rFonts w:ascii="Times New Roman" w:hAnsi="Times New Roman" w:cs="Times New Roman"/>
          <w:bCs/>
          <w:sz w:val="24"/>
          <w:szCs w:val="24"/>
        </w:rPr>
        <w:t xml:space="preserve"> (1987) found </w:t>
      </w:r>
      <w:r w:rsidR="009C0080">
        <w:rPr>
          <w:rFonts w:ascii="Times New Roman" w:hAnsi="Times New Roman" w:cs="Times New Roman"/>
          <w:bCs/>
          <w:sz w:val="24"/>
          <w:szCs w:val="24"/>
        </w:rPr>
        <w:t xml:space="preserve">that </w:t>
      </w:r>
      <w:r w:rsidR="00BE7B3E" w:rsidRPr="00BE7B3E">
        <w:rPr>
          <w:rFonts w:ascii="Times New Roman" w:hAnsi="Times New Roman" w:cs="Times New Roman"/>
          <w:bCs/>
          <w:sz w:val="24"/>
          <w:szCs w:val="24"/>
        </w:rPr>
        <w:t xml:space="preserve">asking prices </w:t>
      </w:r>
      <w:r w:rsidR="009C0080">
        <w:rPr>
          <w:rFonts w:ascii="Times New Roman" w:hAnsi="Times New Roman" w:cs="Times New Roman"/>
          <w:bCs/>
          <w:sz w:val="24"/>
          <w:szCs w:val="24"/>
        </w:rPr>
        <w:t xml:space="preserve">are </w:t>
      </w:r>
      <w:r w:rsidR="00BE7B3E" w:rsidRPr="00BE7B3E">
        <w:rPr>
          <w:rFonts w:ascii="Times New Roman" w:hAnsi="Times New Roman" w:cs="Times New Roman"/>
          <w:bCs/>
          <w:sz w:val="24"/>
          <w:szCs w:val="24"/>
        </w:rPr>
        <w:t>relevant for time on the market</w:t>
      </w:r>
      <w:r>
        <w:rPr>
          <w:rFonts w:ascii="Times New Roman" w:hAnsi="Times New Roman" w:cs="Times New Roman"/>
          <w:bCs/>
          <w:sz w:val="24"/>
          <w:szCs w:val="24"/>
        </w:rPr>
        <w:t>,</w:t>
      </w:r>
      <w:r w:rsidR="00BE7B3E" w:rsidRPr="00BE7B3E">
        <w:rPr>
          <w:rFonts w:ascii="Times New Roman" w:hAnsi="Times New Roman" w:cs="Times New Roman"/>
          <w:bCs/>
          <w:sz w:val="24"/>
          <w:szCs w:val="24"/>
        </w:rPr>
        <w:t xml:space="preserve"> but </w:t>
      </w:r>
      <w:r>
        <w:rPr>
          <w:rFonts w:ascii="Times New Roman" w:hAnsi="Times New Roman" w:cs="Times New Roman"/>
          <w:bCs/>
          <w:sz w:val="24"/>
          <w:szCs w:val="24"/>
        </w:rPr>
        <w:t xml:space="preserve">had </w:t>
      </w:r>
      <w:r w:rsidR="00BE7B3E" w:rsidRPr="00BE7B3E">
        <w:rPr>
          <w:rFonts w:ascii="Times New Roman" w:hAnsi="Times New Roman" w:cs="Times New Roman"/>
          <w:bCs/>
          <w:sz w:val="24"/>
          <w:szCs w:val="24"/>
        </w:rPr>
        <w:t xml:space="preserve">less </w:t>
      </w:r>
      <w:r w:rsidR="009C0080">
        <w:rPr>
          <w:rFonts w:ascii="Times New Roman" w:hAnsi="Times New Roman" w:cs="Times New Roman"/>
          <w:bCs/>
          <w:sz w:val="24"/>
          <w:szCs w:val="24"/>
        </w:rPr>
        <w:t xml:space="preserve">impact on the </w:t>
      </w:r>
      <w:r w:rsidR="00BE7B3E" w:rsidRPr="00BE7B3E">
        <w:rPr>
          <w:rFonts w:ascii="Times New Roman" w:hAnsi="Times New Roman" w:cs="Times New Roman"/>
          <w:bCs/>
          <w:sz w:val="24"/>
          <w:szCs w:val="24"/>
        </w:rPr>
        <w:t>final selling price.</w:t>
      </w:r>
      <w:r w:rsidR="00BE7B3E" w:rsidRPr="00BE7B3E">
        <w:rPr>
          <w:rFonts w:ascii="Times New Roman" w:hAnsi="Times New Roman" w:cs="Times New Roman"/>
          <w:bCs/>
          <w:sz w:val="24"/>
          <w:szCs w:val="24"/>
          <w:vertAlign w:val="superscript"/>
        </w:rPr>
        <w:footnoteReference w:id="2"/>
      </w:r>
      <w:r w:rsidR="00BE7B3E" w:rsidRPr="00BE7B3E">
        <w:rPr>
          <w:rFonts w:ascii="Times New Roman" w:hAnsi="Times New Roman" w:cs="Times New Roman"/>
          <w:bCs/>
          <w:sz w:val="24"/>
          <w:szCs w:val="24"/>
        </w:rPr>
        <w:t xml:space="preserve">  The marketing environment has changed since the 1980’s where information travels much faster and buyers can get automated search updates on new listings and price revisions.  This might explain some of the increased propensity for bidding wars as reported by the National Association of REALTORs.</w:t>
      </w:r>
      <w:r w:rsidR="002C7CE7">
        <w:rPr>
          <w:rFonts w:ascii="Times New Roman" w:hAnsi="Times New Roman" w:cs="Times New Roman"/>
          <w:bCs/>
          <w:sz w:val="24"/>
          <w:szCs w:val="24"/>
        </w:rPr>
        <w:t xml:space="preserve"> </w:t>
      </w:r>
      <w:r w:rsidR="002C7CE7" w:rsidRPr="00BE7B3E">
        <w:rPr>
          <w:rFonts w:ascii="Times New Roman" w:hAnsi="Times New Roman" w:cs="Times New Roman"/>
          <w:bCs/>
          <w:sz w:val="24"/>
          <w:szCs w:val="24"/>
        </w:rPr>
        <w:t>Han and Strange (2013</w:t>
      </w:r>
      <w:r w:rsidR="002C7CE7">
        <w:rPr>
          <w:rFonts w:ascii="Times New Roman" w:hAnsi="Times New Roman" w:cs="Times New Roman"/>
          <w:bCs/>
          <w:sz w:val="24"/>
          <w:szCs w:val="24"/>
        </w:rPr>
        <w:t xml:space="preserve"> and 2014</w:t>
      </w:r>
      <w:r w:rsidR="002C7CE7" w:rsidRPr="00BE7B3E">
        <w:rPr>
          <w:rFonts w:ascii="Times New Roman" w:hAnsi="Times New Roman" w:cs="Times New Roman"/>
          <w:bCs/>
          <w:sz w:val="24"/>
          <w:szCs w:val="24"/>
        </w:rPr>
        <w:t>) focus on the role of asking price with particular attention to circumstances that encourage multiple bids and bidding battles.</w:t>
      </w:r>
      <w:r w:rsidR="002C7CE7" w:rsidRPr="00BE7B3E">
        <w:rPr>
          <w:rFonts w:ascii="Times New Roman" w:hAnsi="Times New Roman" w:cs="Times New Roman"/>
          <w:bCs/>
          <w:sz w:val="24"/>
          <w:szCs w:val="24"/>
          <w:vertAlign w:val="superscript"/>
        </w:rPr>
        <w:footnoteReference w:id="3"/>
      </w:r>
      <w:r w:rsidR="002C7CE7" w:rsidRPr="00BE7B3E">
        <w:rPr>
          <w:rFonts w:ascii="Times New Roman" w:hAnsi="Times New Roman" w:cs="Times New Roman"/>
          <w:bCs/>
          <w:sz w:val="24"/>
          <w:szCs w:val="24"/>
        </w:rPr>
        <w:t xml:space="preserve">  </w:t>
      </w:r>
      <w:r w:rsidR="00BE7B3E" w:rsidRPr="00BE7B3E">
        <w:rPr>
          <w:rFonts w:ascii="Times New Roman" w:hAnsi="Times New Roman" w:cs="Times New Roman"/>
          <w:bCs/>
          <w:sz w:val="24"/>
          <w:szCs w:val="24"/>
        </w:rPr>
        <w:t xml:space="preserve">For example, the Han and Strange study (2014) was based on data collected during the 2003-2006 boom period. They observe several markets with sale prices above list price transactions as a percentage of all sales in 2003 and then again, but less so during 2007-2010 characterized as a bust period.  These results strongly suggest that market conditions matter for testing the impact of list price strategies. </w:t>
      </w:r>
    </w:p>
    <w:p w14:paraId="68B52A2E" w14:textId="742F841B" w:rsidR="00BE7B3E" w:rsidRDefault="00BE7B3E">
      <w:pPr>
        <w:rPr>
          <w:rFonts w:ascii="Times New Roman" w:hAnsi="Times New Roman" w:cs="Times New Roman"/>
          <w:bCs/>
          <w:sz w:val="24"/>
          <w:szCs w:val="24"/>
        </w:rPr>
      </w:pPr>
      <w:r w:rsidRPr="00BE7B3E">
        <w:rPr>
          <w:rFonts w:ascii="Times New Roman" w:hAnsi="Times New Roman" w:cs="Times New Roman"/>
          <w:bCs/>
          <w:sz w:val="24"/>
          <w:szCs w:val="24"/>
        </w:rPr>
        <w:t xml:space="preserve">Historically the sales price has been in the mid-90% range figure as a proportion of list price.   Miller and </w:t>
      </w:r>
      <w:proofErr w:type="spellStart"/>
      <w:r w:rsidRPr="00BE7B3E">
        <w:rPr>
          <w:rFonts w:ascii="Times New Roman" w:hAnsi="Times New Roman" w:cs="Times New Roman"/>
          <w:bCs/>
          <w:sz w:val="24"/>
          <w:szCs w:val="24"/>
        </w:rPr>
        <w:t>Sklarz</w:t>
      </w:r>
      <w:proofErr w:type="spellEnd"/>
      <w:r w:rsidRPr="00BE7B3E">
        <w:rPr>
          <w:rFonts w:ascii="Times New Roman" w:hAnsi="Times New Roman" w:cs="Times New Roman"/>
          <w:bCs/>
          <w:sz w:val="24"/>
          <w:szCs w:val="24"/>
        </w:rPr>
        <w:t xml:space="preserve"> (1986) reported on </w:t>
      </w:r>
      <w:r w:rsidR="00C60BB6">
        <w:rPr>
          <w:rFonts w:ascii="Times New Roman" w:hAnsi="Times New Roman" w:cs="Times New Roman"/>
          <w:bCs/>
          <w:sz w:val="24"/>
          <w:szCs w:val="24"/>
        </w:rPr>
        <w:t xml:space="preserve">annual </w:t>
      </w:r>
      <w:r w:rsidRPr="00BE7B3E">
        <w:rPr>
          <w:rFonts w:ascii="Times New Roman" w:hAnsi="Times New Roman" w:cs="Times New Roman"/>
          <w:bCs/>
          <w:sz w:val="24"/>
          <w:szCs w:val="24"/>
        </w:rPr>
        <w:t xml:space="preserve">data from 1973 through 1985 and found a range of sale price to list prices from 90% to 96% with the lower bound during weak markets and the upper bound during stronger markets.  </w:t>
      </w:r>
      <w:proofErr w:type="spellStart"/>
      <w:r w:rsidRPr="00BE7B3E">
        <w:rPr>
          <w:rFonts w:ascii="Times New Roman" w:hAnsi="Times New Roman" w:cs="Times New Roman"/>
          <w:bCs/>
          <w:sz w:val="24"/>
          <w:szCs w:val="24"/>
        </w:rPr>
        <w:t>Ortalo-Magne</w:t>
      </w:r>
      <w:proofErr w:type="spellEnd"/>
      <w:r w:rsidRPr="00BE7B3E">
        <w:rPr>
          <w:rFonts w:ascii="Times New Roman" w:hAnsi="Times New Roman" w:cs="Times New Roman"/>
          <w:bCs/>
          <w:sz w:val="24"/>
          <w:szCs w:val="24"/>
        </w:rPr>
        <w:t xml:space="preserve"> and Merlo (2012) found that 96% is typical using a sample from the UK from the mid-1990s and W. Strange found similar results in the US (2013).  Sales prices above list price were considered rare events prior to the year 2000.   The National Association of REALTORs reported a sales price to list price ratio of 98% at the peak of the housing boom in 2005.   One might conjecture that in prior decades the asking price was viewed as a ceiling for a home price bid, but that today, with the speed of information transmission and the possibility of triggering bidding battles, that this assumption is no longer valid.  Apparently, some real estate agents have learned to encourage bidding battles by asking a</w:t>
      </w:r>
      <w:r>
        <w:rPr>
          <w:rFonts w:ascii="Times New Roman" w:hAnsi="Times New Roman" w:cs="Times New Roman"/>
          <w:bCs/>
          <w:sz w:val="24"/>
          <w:szCs w:val="24"/>
        </w:rPr>
        <w:t xml:space="preserve"> </w:t>
      </w:r>
      <w:r w:rsidRPr="00BE7B3E">
        <w:rPr>
          <w:rFonts w:ascii="Times New Roman" w:hAnsi="Times New Roman" w:cs="Times New Roman"/>
          <w:bCs/>
          <w:sz w:val="24"/>
          <w:szCs w:val="24"/>
        </w:rPr>
        <w:t>lower price for a home, relative to value, whereby they increase the probability of simultaneous multiple potential buyers.</w:t>
      </w:r>
    </w:p>
    <w:p w14:paraId="625D0737" w14:textId="52F416B7" w:rsidR="00BE7B3E" w:rsidRDefault="00BE7B3E" w:rsidP="00BE7B3E">
      <w:pPr>
        <w:rPr>
          <w:rFonts w:ascii="Times New Roman" w:hAnsi="Times New Roman" w:cs="Times New Roman"/>
          <w:bCs/>
          <w:sz w:val="24"/>
          <w:szCs w:val="24"/>
        </w:rPr>
      </w:pPr>
      <w:r w:rsidRPr="00BE7B3E">
        <w:rPr>
          <w:rFonts w:ascii="Times New Roman" w:hAnsi="Times New Roman" w:cs="Times New Roman"/>
          <w:bCs/>
          <w:sz w:val="24"/>
          <w:szCs w:val="24"/>
        </w:rPr>
        <w:lastRenderedPageBreak/>
        <w:t xml:space="preserve">Han and Strange (2013) build upon the work by </w:t>
      </w:r>
      <w:proofErr w:type="spellStart"/>
      <w:r w:rsidRPr="00BE7B3E">
        <w:rPr>
          <w:rFonts w:ascii="Times New Roman" w:hAnsi="Times New Roman" w:cs="Times New Roman"/>
          <w:bCs/>
          <w:sz w:val="24"/>
          <w:szCs w:val="24"/>
        </w:rPr>
        <w:t>Yinger’s</w:t>
      </w:r>
      <w:proofErr w:type="spellEnd"/>
      <w:r w:rsidRPr="00BE7B3E">
        <w:rPr>
          <w:rFonts w:ascii="Times New Roman" w:hAnsi="Times New Roman" w:cs="Times New Roman"/>
          <w:bCs/>
          <w:sz w:val="24"/>
          <w:szCs w:val="24"/>
        </w:rPr>
        <w:t xml:space="preserve"> (1981) a random search and matching model. Other random matching approaches include </w:t>
      </w:r>
      <w:proofErr w:type="spellStart"/>
      <w:r w:rsidRPr="00BE7B3E">
        <w:rPr>
          <w:rFonts w:ascii="Times New Roman" w:hAnsi="Times New Roman" w:cs="Times New Roman"/>
          <w:bCs/>
          <w:sz w:val="24"/>
          <w:szCs w:val="24"/>
        </w:rPr>
        <w:t>Haurin</w:t>
      </w:r>
      <w:proofErr w:type="spellEnd"/>
      <w:r w:rsidRPr="00BE7B3E">
        <w:rPr>
          <w:rFonts w:ascii="Times New Roman" w:hAnsi="Times New Roman" w:cs="Times New Roman"/>
          <w:bCs/>
          <w:sz w:val="24"/>
          <w:szCs w:val="24"/>
        </w:rPr>
        <w:t xml:space="preserve"> (1988), </w:t>
      </w:r>
      <w:proofErr w:type="spellStart"/>
      <w:r w:rsidRPr="00BE7B3E">
        <w:rPr>
          <w:rFonts w:ascii="Times New Roman" w:hAnsi="Times New Roman" w:cs="Times New Roman"/>
          <w:bCs/>
          <w:sz w:val="24"/>
          <w:szCs w:val="24"/>
        </w:rPr>
        <w:t>Piazzesi</w:t>
      </w:r>
      <w:proofErr w:type="spellEnd"/>
      <w:r w:rsidRPr="00BE7B3E">
        <w:rPr>
          <w:rFonts w:ascii="Times New Roman" w:hAnsi="Times New Roman" w:cs="Times New Roman"/>
          <w:bCs/>
          <w:sz w:val="24"/>
          <w:szCs w:val="24"/>
        </w:rPr>
        <w:t xml:space="preserve"> and Schneider (2009) and </w:t>
      </w:r>
      <w:proofErr w:type="spellStart"/>
      <w:r w:rsidRPr="00BE7B3E">
        <w:rPr>
          <w:rFonts w:ascii="Times New Roman" w:hAnsi="Times New Roman" w:cs="Times New Roman"/>
          <w:bCs/>
          <w:sz w:val="24"/>
          <w:szCs w:val="24"/>
        </w:rPr>
        <w:t>Novy</w:t>
      </w:r>
      <w:proofErr w:type="spellEnd"/>
      <w:r w:rsidRPr="00BE7B3E">
        <w:rPr>
          <w:rFonts w:ascii="Times New Roman" w:hAnsi="Times New Roman" w:cs="Times New Roman"/>
          <w:bCs/>
          <w:sz w:val="24"/>
          <w:szCs w:val="24"/>
        </w:rPr>
        <w:t xml:space="preserve">-Marx (2009).   Random matching models do not model the role of the asking price but help explain how it is rational to pay different prices for a similar home as a function of search costs and random information collection.  In contrast, directed search models of housing markets have explicitly modeled how asking price impacts buyers’ search activity and hence transaction outcome. Notable examples include Chen and Rosenthal (1996) Arnold (1999), Green and </w:t>
      </w:r>
      <w:proofErr w:type="spellStart"/>
      <w:r w:rsidRPr="00BE7B3E">
        <w:rPr>
          <w:rFonts w:ascii="Times New Roman" w:hAnsi="Times New Roman" w:cs="Times New Roman"/>
          <w:bCs/>
          <w:sz w:val="24"/>
          <w:szCs w:val="24"/>
        </w:rPr>
        <w:t>Vandell</w:t>
      </w:r>
      <w:proofErr w:type="spellEnd"/>
      <w:r w:rsidRPr="00BE7B3E">
        <w:rPr>
          <w:rFonts w:ascii="Times New Roman" w:hAnsi="Times New Roman" w:cs="Times New Roman"/>
          <w:bCs/>
          <w:sz w:val="24"/>
          <w:szCs w:val="24"/>
        </w:rPr>
        <w:t xml:space="preserve"> (1998).</w:t>
      </w:r>
      <w:r w:rsidR="002C7CE7">
        <w:rPr>
          <w:rFonts w:ascii="Times New Roman" w:hAnsi="Times New Roman" w:cs="Times New Roman"/>
          <w:bCs/>
          <w:sz w:val="24"/>
          <w:szCs w:val="24"/>
        </w:rPr>
        <w:t xml:space="preserve"> These papers </w:t>
      </w:r>
      <w:r w:rsidRPr="00BE7B3E">
        <w:rPr>
          <w:rFonts w:ascii="Times New Roman" w:hAnsi="Times New Roman" w:cs="Times New Roman"/>
          <w:bCs/>
          <w:sz w:val="24"/>
          <w:szCs w:val="24"/>
        </w:rPr>
        <w:t xml:space="preserve">treated </w:t>
      </w:r>
      <w:r w:rsidR="002C7CE7">
        <w:rPr>
          <w:rFonts w:ascii="Times New Roman" w:hAnsi="Times New Roman" w:cs="Times New Roman"/>
          <w:bCs/>
          <w:sz w:val="24"/>
          <w:szCs w:val="24"/>
        </w:rPr>
        <w:t xml:space="preserve">the asking price </w:t>
      </w:r>
      <w:r w:rsidRPr="00BE7B3E">
        <w:rPr>
          <w:rFonts w:ascii="Times New Roman" w:hAnsi="Times New Roman" w:cs="Times New Roman"/>
          <w:bCs/>
          <w:sz w:val="24"/>
          <w:szCs w:val="24"/>
        </w:rPr>
        <w:t>as a ceiling</w:t>
      </w:r>
      <w:r w:rsidR="002C7CE7">
        <w:rPr>
          <w:rFonts w:ascii="Times New Roman" w:hAnsi="Times New Roman" w:cs="Times New Roman"/>
          <w:bCs/>
          <w:sz w:val="24"/>
          <w:szCs w:val="24"/>
        </w:rPr>
        <w:t>.  H</w:t>
      </w:r>
      <w:r w:rsidRPr="00BE7B3E">
        <w:rPr>
          <w:rFonts w:ascii="Times New Roman" w:hAnsi="Times New Roman" w:cs="Times New Roman"/>
          <w:bCs/>
          <w:sz w:val="24"/>
          <w:szCs w:val="24"/>
        </w:rPr>
        <w:t>an and Strange allow for the possibility of bidding wars where the sales price exceeds the asking price.  The</w:t>
      </w:r>
      <w:r w:rsidR="002C7CE7">
        <w:rPr>
          <w:rFonts w:ascii="Times New Roman" w:hAnsi="Times New Roman" w:cs="Times New Roman"/>
          <w:bCs/>
          <w:sz w:val="24"/>
          <w:szCs w:val="24"/>
        </w:rPr>
        <w:t xml:space="preserve">y </w:t>
      </w:r>
      <w:r w:rsidRPr="00BE7B3E">
        <w:rPr>
          <w:rFonts w:ascii="Times New Roman" w:hAnsi="Times New Roman" w:cs="Times New Roman"/>
          <w:bCs/>
          <w:sz w:val="24"/>
          <w:szCs w:val="24"/>
        </w:rPr>
        <w:t xml:space="preserve">also allow the number of visitors to vary as a function of asking price.  Not surprisingly the number of visitors increases as asking price decreases and this triggers the possibility of bidding wars.  There are a number of other behavioral factors that could affect the prices paid or accepted including loss aversion, </w:t>
      </w:r>
      <w:proofErr w:type="spellStart"/>
      <w:r w:rsidRPr="00BE7B3E">
        <w:rPr>
          <w:rFonts w:ascii="Times New Roman" w:hAnsi="Times New Roman" w:cs="Times New Roman"/>
          <w:bCs/>
          <w:sz w:val="24"/>
          <w:szCs w:val="24"/>
        </w:rPr>
        <w:t>Genesove</w:t>
      </w:r>
      <w:proofErr w:type="spellEnd"/>
      <w:r w:rsidRPr="00BE7B3E">
        <w:rPr>
          <w:rFonts w:ascii="Times New Roman" w:hAnsi="Times New Roman" w:cs="Times New Roman"/>
          <w:bCs/>
          <w:sz w:val="24"/>
          <w:szCs w:val="24"/>
        </w:rPr>
        <w:t xml:space="preserve"> and Mayer (2001) or search costs, Miller (1978) </w:t>
      </w:r>
      <w:r>
        <w:rPr>
          <w:rFonts w:ascii="Times New Roman" w:hAnsi="Times New Roman" w:cs="Times New Roman"/>
          <w:bCs/>
          <w:sz w:val="24"/>
          <w:szCs w:val="24"/>
        </w:rPr>
        <w:t xml:space="preserve">or Miller and Rice (1981) </w:t>
      </w:r>
      <w:r w:rsidRPr="00BE7B3E">
        <w:rPr>
          <w:rFonts w:ascii="Times New Roman" w:hAnsi="Times New Roman" w:cs="Times New Roman"/>
          <w:bCs/>
          <w:sz w:val="24"/>
          <w:szCs w:val="24"/>
        </w:rPr>
        <w:t xml:space="preserve">and most of these help explain why we observe price dispersed markets making the empirical estimation of most probable market value a challenge.  A few other studies attempt to examine </w:t>
      </w:r>
      <w:r w:rsidR="002C7CE7">
        <w:rPr>
          <w:rFonts w:ascii="Times New Roman" w:hAnsi="Times New Roman" w:cs="Times New Roman"/>
          <w:bCs/>
          <w:sz w:val="24"/>
          <w:szCs w:val="24"/>
        </w:rPr>
        <w:t xml:space="preserve">how asking price may signal quality, </w:t>
      </w:r>
      <w:r w:rsidRPr="00BE7B3E">
        <w:rPr>
          <w:rFonts w:ascii="Times New Roman" w:hAnsi="Times New Roman" w:cs="Times New Roman"/>
          <w:bCs/>
          <w:sz w:val="24"/>
          <w:szCs w:val="24"/>
        </w:rPr>
        <w:t>the impact of price cutting behavior</w:t>
      </w:r>
      <w:r w:rsidR="002C7CE7">
        <w:rPr>
          <w:rFonts w:ascii="Times New Roman" w:hAnsi="Times New Roman" w:cs="Times New Roman"/>
          <w:bCs/>
          <w:sz w:val="24"/>
          <w:szCs w:val="24"/>
        </w:rPr>
        <w:t xml:space="preserve">, and </w:t>
      </w:r>
      <w:r w:rsidR="00735FBE">
        <w:rPr>
          <w:rFonts w:ascii="Times New Roman" w:hAnsi="Times New Roman" w:cs="Times New Roman"/>
          <w:bCs/>
          <w:sz w:val="24"/>
          <w:szCs w:val="24"/>
        </w:rPr>
        <w:t xml:space="preserve">the impact of </w:t>
      </w:r>
      <w:r w:rsidR="002C7CE7">
        <w:rPr>
          <w:rFonts w:ascii="Times New Roman" w:hAnsi="Times New Roman" w:cs="Times New Roman"/>
          <w:bCs/>
          <w:sz w:val="24"/>
          <w:szCs w:val="24"/>
        </w:rPr>
        <w:t xml:space="preserve">different market conditions </w:t>
      </w:r>
      <w:proofErr w:type="gramStart"/>
      <w:r w:rsidR="002C7CE7">
        <w:rPr>
          <w:rFonts w:ascii="Times New Roman" w:hAnsi="Times New Roman" w:cs="Times New Roman"/>
          <w:bCs/>
          <w:sz w:val="24"/>
          <w:szCs w:val="24"/>
        </w:rPr>
        <w:t>(</w:t>
      </w:r>
      <w:r w:rsidRPr="00BE7B3E">
        <w:rPr>
          <w:rFonts w:ascii="Times New Roman" w:hAnsi="Times New Roman" w:cs="Times New Roman"/>
          <w:bCs/>
          <w:sz w:val="24"/>
          <w:szCs w:val="24"/>
        </w:rPr>
        <w:t xml:space="preserve"> Sass</w:t>
      </w:r>
      <w:proofErr w:type="gramEnd"/>
      <w:r w:rsidRPr="00BE7B3E">
        <w:rPr>
          <w:rFonts w:ascii="Times New Roman" w:hAnsi="Times New Roman" w:cs="Times New Roman"/>
          <w:bCs/>
          <w:sz w:val="24"/>
          <w:szCs w:val="24"/>
        </w:rPr>
        <w:t xml:space="preserve"> (1988)</w:t>
      </w:r>
      <w:r w:rsidR="00735FBE">
        <w:rPr>
          <w:rFonts w:ascii="Times New Roman" w:hAnsi="Times New Roman" w:cs="Times New Roman"/>
          <w:bCs/>
          <w:sz w:val="24"/>
          <w:szCs w:val="24"/>
        </w:rPr>
        <w:t xml:space="preserve"> and </w:t>
      </w:r>
      <w:r w:rsidRPr="00BE7B3E">
        <w:rPr>
          <w:rFonts w:ascii="Times New Roman" w:hAnsi="Times New Roman" w:cs="Times New Roman"/>
          <w:bCs/>
          <w:sz w:val="24"/>
          <w:szCs w:val="24"/>
        </w:rPr>
        <w:t xml:space="preserve"> </w:t>
      </w:r>
      <w:proofErr w:type="spellStart"/>
      <w:r w:rsidRPr="00BE7B3E">
        <w:rPr>
          <w:rFonts w:ascii="Times New Roman" w:hAnsi="Times New Roman" w:cs="Times New Roman"/>
          <w:bCs/>
          <w:sz w:val="24"/>
          <w:szCs w:val="24"/>
        </w:rPr>
        <w:t>Novy</w:t>
      </w:r>
      <w:proofErr w:type="spellEnd"/>
      <w:r w:rsidRPr="00BE7B3E">
        <w:rPr>
          <w:rFonts w:ascii="Times New Roman" w:hAnsi="Times New Roman" w:cs="Times New Roman"/>
          <w:bCs/>
          <w:sz w:val="24"/>
          <w:szCs w:val="24"/>
        </w:rPr>
        <w:t>-Marx (2009)</w:t>
      </w:r>
      <w:r w:rsidR="00735FBE">
        <w:rPr>
          <w:rFonts w:ascii="Times New Roman" w:hAnsi="Times New Roman" w:cs="Times New Roman"/>
          <w:bCs/>
          <w:sz w:val="24"/>
          <w:szCs w:val="24"/>
        </w:rPr>
        <w:t>)</w:t>
      </w:r>
      <w:r w:rsidRPr="00BE7B3E">
        <w:rPr>
          <w:rFonts w:ascii="Times New Roman" w:hAnsi="Times New Roman" w:cs="Times New Roman"/>
          <w:bCs/>
          <w:sz w:val="24"/>
          <w:szCs w:val="24"/>
        </w:rPr>
        <w:t>.</w:t>
      </w:r>
    </w:p>
    <w:p w14:paraId="5B37464C" w14:textId="12ADF8B7" w:rsidR="000D23E5" w:rsidRPr="00BE7B3E" w:rsidRDefault="000D23E5" w:rsidP="00BE7B3E">
      <w:pPr>
        <w:rPr>
          <w:rFonts w:ascii="Times New Roman" w:hAnsi="Times New Roman" w:cs="Times New Roman"/>
          <w:bCs/>
          <w:sz w:val="24"/>
          <w:szCs w:val="24"/>
        </w:rPr>
      </w:pPr>
      <w:r>
        <w:rPr>
          <w:rFonts w:ascii="Times New Roman" w:hAnsi="Times New Roman" w:cs="Times New Roman"/>
          <w:bCs/>
          <w:sz w:val="24"/>
          <w:szCs w:val="24"/>
        </w:rPr>
        <w:t xml:space="preserve">Behavioral economics also sheds some light on asking prices, explaining that given modern home buyer search methods </w:t>
      </w:r>
      <w:r w:rsidR="00D93377">
        <w:rPr>
          <w:rFonts w:ascii="Times New Roman" w:hAnsi="Times New Roman" w:cs="Times New Roman"/>
          <w:bCs/>
          <w:sz w:val="24"/>
          <w:szCs w:val="24"/>
        </w:rPr>
        <w:t xml:space="preserve">(i.e. websites like Zillow, Trulia, REALTOR.com) </w:t>
      </w:r>
      <w:r>
        <w:rPr>
          <w:rFonts w:ascii="Times New Roman" w:hAnsi="Times New Roman" w:cs="Times New Roman"/>
          <w:bCs/>
          <w:sz w:val="24"/>
          <w:szCs w:val="24"/>
        </w:rPr>
        <w:t>it makes sense to price just under a bracketed rounded off figure.</w:t>
      </w:r>
      <w:r w:rsidRPr="000D23E5">
        <w:rPr>
          <w:rFonts w:ascii="Times New Roman" w:hAnsi="Times New Roman" w:cs="Times New Roman"/>
          <w:bCs/>
          <w:sz w:val="24"/>
          <w:szCs w:val="24"/>
        </w:rPr>
        <w:t xml:space="preserve">  </w:t>
      </w:r>
      <w:proofErr w:type="spellStart"/>
      <w:r w:rsidRPr="000D23E5">
        <w:rPr>
          <w:rFonts w:ascii="Times New Roman" w:hAnsi="Times New Roman" w:cs="Times New Roman"/>
          <w:bCs/>
          <w:sz w:val="24"/>
          <w:szCs w:val="24"/>
        </w:rPr>
        <w:t>Beracha</w:t>
      </w:r>
      <w:proofErr w:type="spellEnd"/>
      <w:r w:rsidRPr="000D23E5">
        <w:rPr>
          <w:rFonts w:ascii="Times New Roman" w:hAnsi="Times New Roman" w:cs="Times New Roman"/>
          <w:bCs/>
          <w:sz w:val="24"/>
          <w:szCs w:val="24"/>
        </w:rPr>
        <w:t xml:space="preserve"> and Seiler </w:t>
      </w:r>
      <w:r>
        <w:rPr>
          <w:rFonts w:ascii="Times New Roman" w:hAnsi="Times New Roman" w:cs="Times New Roman"/>
          <w:bCs/>
          <w:sz w:val="24"/>
          <w:szCs w:val="24"/>
        </w:rPr>
        <w:t>(2014) explain and s</w:t>
      </w:r>
      <w:r w:rsidRPr="000D23E5">
        <w:rPr>
          <w:rFonts w:ascii="Times New Roman" w:hAnsi="Times New Roman" w:cs="Times New Roman"/>
          <w:bCs/>
          <w:sz w:val="24"/>
          <w:szCs w:val="24"/>
        </w:rPr>
        <w:t>uggest staying just under rounded off list prices</w:t>
      </w:r>
      <w:r w:rsidR="00D93377">
        <w:rPr>
          <w:rFonts w:ascii="Times New Roman" w:hAnsi="Times New Roman" w:cs="Times New Roman"/>
          <w:bCs/>
          <w:sz w:val="24"/>
          <w:szCs w:val="24"/>
        </w:rPr>
        <w:t xml:space="preserve"> will increase the number of viewers</w:t>
      </w:r>
      <w:r w:rsidRPr="000D23E5">
        <w:rPr>
          <w:rFonts w:ascii="Times New Roman" w:hAnsi="Times New Roman" w:cs="Times New Roman"/>
          <w:bCs/>
          <w:sz w:val="24"/>
          <w:szCs w:val="24"/>
        </w:rPr>
        <w:t>.</w:t>
      </w:r>
    </w:p>
    <w:p w14:paraId="51AF6855" w14:textId="77777777" w:rsidR="000D23E5" w:rsidRDefault="000D23E5">
      <w:pPr>
        <w:rPr>
          <w:rFonts w:ascii="Times New Roman" w:hAnsi="Times New Roman" w:cs="Times New Roman"/>
          <w:sz w:val="24"/>
          <w:szCs w:val="24"/>
        </w:rPr>
      </w:pPr>
    </w:p>
    <w:p w14:paraId="72A964AE" w14:textId="3D8C7D4B" w:rsidR="004F1DAD" w:rsidRDefault="000240EE">
      <w:pPr>
        <w:rPr>
          <w:rFonts w:ascii="Times New Roman" w:hAnsi="Times New Roman" w:cs="Times New Roman"/>
          <w:sz w:val="24"/>
          <w:szCs w:val="24"/>
        </w:rPr>
      </w:pPr>
      <w:r>
        <w:rPr>
          <w:rFonts w:ascii="Times New Roman" w:hAnsi="Times New Roman" w:cs="Times New Roman"/>
          <w:sz w:val="24"/>
          <w:szCs w:val="24"/>
        </w:rPr>
        <w:t xml:space="preserve">II. </w:t>
      </w:r>
      <w:r w:rsidR="004F1DAD">
        <w:rPr>
          <w:rFonts w:ascii="Times New Roman" w:hAnsi="Times New Roman" w:cs="Times New Roman"/>
          <w:sz w:val="24"/>
          <w:szCs w:val="24"/>
        </w:rPr>
        <w:t xml:space="preserve"> Market Conditions and Time on the Market</w:t>
      </w:r>
    </w:p>
    <w:p w14:paraId="10B10D54" w14:textId="33704506" w:rsidR="00145BB2" w:rsidRDefault="00145BB2" w:rsidP="004F1DAD">
      <w:pPr>
        <w:rPr>
          <w:rFonts w:ascii="Times New Roman" w:hAnsi="Times New Roman" w:cs="Times New Roman"/>
          <w:sz w:val="24"/>
          <w:szCs w:val="24"/>
        </w:rPr>
      </w:pPr>
      <w:r>
        <w:rPr>
          <w:rFonts w:ascii="Times New Roman" w:hAnsi="Times New Roman" w:cs="Times New Roman"/>
          <w:sz w:val="24"/>
          <w:szCs w:val="24"/>
        </w:rPr>
        <w:t>The time on the market is, almost by definition, related to market conditions.  When the supply of housing is fixed or increasing slowly and demand is increasing (due to fundamentals or the availability of credit) we should expect increasing prices, bidding wars and</w:t>
      </w:r>
      <w:r w:rsidR="00AB6278">
        <w:rPr>
          <w:rFonts w:ascii="Times New Roman" w:hAnsi="Times New Roman" w:cs="Times New Roman"/>
          <w:sz w:val="24"/>
          <w:szCs w:val="24"/>
        </w:rPr>
        <w:t xml:space="preserve"> typical </w:t>
      </w:r>
      <w:r>
        <w:rPr>
          <w:rFonts w:ascii="Times New Roman" w:hAnsi="Times New Roman" w:cs="Times New Roman"/>
          <w:sz w:val="24"/>
          <w:szCs w:val="24"/>
        </w:rPr>
        <w:t xml:space="preserve">homes selling quickly.  In contrast, when demand is declining and supply is fixed </w:t>
      </w:r>
      <w:r w:rsidR="00142926">
        <w:rPr>
          <w:rFonts w:ascii="Times New Roman" w:hAnsi="Times New Roman" w:cs="Times New Roman"/>
          <w:sz w:val="24"/>
          <w:szCs w:val="24"/>
        </w:rPr>
        <w:t xml:space="preserve">or over built </w:t>
      </w:r>
      <w:r>
        <w:rPr>
          <w:rFonts w:ascii="Times New Roman" w:hAnsi="Times New Roman" w:cs="Times New Roman"/>
          <w:sz w:val="24"/>
          <w:szCs w:val="24"/>
        </w:rPr>
        <w:t xml:space="preserve">then prices should decline. </w:t>
      </w:r>
    </w:p>
    <w:p w14:paraId="7F2E419D" w14:textId="3A899FA7" w:rsidR="00B63548" w:rsidRDefault="00145BB2" w:rsidP="004F1DAD">
      <w:pPr>
        <w:rPr>
          <w:rFonts w:ascii="Times New Roman" w:hAnsi="Times New Roman" w:cs="Times New Roman"/>
          <w:sz w:val="24"/>
          <w:szCs w:val="24"/>
        </w:rPr>
      </w:pPr>
      <w:r>
        <w:rPr>
          <w:rFonts w:ascii="Times New Roman" w:hAnsi="Times New Roman" w:cs="Times New Roman"/>
          <w:sz w:val="24"/>
          <w:szCs w:val="24"/>
        </w:rPr>
        <w:t xml:space="preserve">There are many other nuances that change the time on the market over the business cycle and </w:t>
      </w:r>
      <w:r w:rsidR="00B63548">
        <w:rPr>
          <w:rFonts w:ascii="Times New Roman" w:hAnsi="Times New Roman" w:cs="Times New Roman"/>
          <w:sz w:val="24"/>
          <w:szCs w:val="24"/>
        </w:rPr>
        <w:t>Case and Shiller (1988</w:t>
      </w:r>
      <w:r w:rsidR="00142926">
        <w:rPr>
          <w:rFonts w:ascii="Times New Roman" w:hAnsi="Times New Roman" w:cs="Times New Roman"/>
          <w:sz w:val="24"/>
          <w:szCs w:val="24"/>
        </w:rPr>
        <w:t xml:space="preserve">) </w:t>
      </w:r>
      <w:r>
        <w:rPr>
          <w:rFonts w:ascii="Times New Roman" w:hAnsi="Times New Roman" w:cs="Times New Roman"/>
          <w:sz w:val="24"/>
          <w:szCs w:val="24"/>
        </w:rPr>
        <w:t>find that</w:t>
      </w:r>
      <w:r w:rsidR="00B63548">
        <w:rPr>
          <w:rFonts w:ascii="Times New Roman" w:hAnsi="Times New Roman" w:cs="Times New Roman"/>
          <w:sz w:val="24"/>
          <w:szCs w:val="24"/>
        </w:rPr>
        <w:t xml:space="preserve"> </w:t>
      </w:r>
      <w:r>
        <w:rPr>
          <w:rFonts w:ascii="Times New Roman" w:hAnsi="Times New Roman" w:cs="Times New Roman"/>
          <w:sz w:val="24"/>
          <w:szCs w:val="24"/>
        </w:rPr>
        <w:t>h</w:t>
      </w:r>
      <w:r w:rsidR="00B63548" w:rsidRPr="00B63548">
        <w:rPr>
          <w:rFonts w:ascii="Times New Roman" w:hAnsi="Times New Roman" w:cs="Times New Roman"/>
          <w:sz w:val="24"/>
          <w:szCs w:val="24"/>
        </w:rPr>
        <w:t>ome buyers in boom cities had much higher expectations for future price increases</w:t>
      </w:r>
      <w:r w:rsidR="00B63548">
        <w:rPr>
          <w:rFonts w:ascii="Times New Roman" w:hAnsi="Times New Roman" w:cs="Times New Roman"/>
          <w:sz w:val="24"/>
          <w:szCs w:val="24"/>
        </w:rPr>
        <w:t>. That is</w:t>
      </w:r>
      <w:r w:rsidR="00B63548" w:rsidRPr="00B63548">
        <w:rPr>
          <w:rFonts w:ascii="Times New Roman" w:hAnsi="Times New Roman" w:cs="Times New Roman"/>
          <w:sz w:val="24"/>
          <w:szCs w:val="24"/>
        </w:rPr>
        <w:t>,</w:t>
      </w:r>
      <w:r w:rsidR="00B63548">
        <w:rPr>
          <w:rFonts w:ascii="Times New Roman" w:hAnsi="Times New Roman" w:cs="Times New Roman"/>
          <w:sz w:val="24"/>
          <w:szCs w:val="24"/>
        </w:rPr>
        <w:t xml:space="preserve"> they assumed recent past year price increases would continue. Such buyers </w:t>
      </w:r>
      <w:r w:rsidR="00B63548" w:rsidRPr="00B63548">
        <w:rPr>
          <w:rFonts w:ascii="Times New Roman" w:hAnsi="Times New Roman" w:cs="Times New Roman"/>
          <w:sz w:val="24"/>
          <w:szCs w:val="24"/>
        </w:rPr>
        <w:t>were</w:t>
      </w:r>
      <w:r w:rsidR="00B63548">
        <w:rPr>
          <w:rFonts w:ascii="Times New Roman" w:hAnsi="Times New Roman" w:cs="Times New Roman"/>
          <w:sz w:val="24"/>
          <w:szCs w:val="24"/>
        </w:rPr>
        <w:t xml:space="preserve"> also</w:t>
      </w:r>
      <w:r w:rsidR="00B63548" w:rsidRPr="00B63548">
        <w:rPr>
          <w:rFonts w:ascii="Times New Roman" w:hAnsi="Times New Roman" w:cs="Times New Roman"/>
          <w:sz w:val="24"/>
          <w:szCs w:val="24"/>
        </w:rPr>
        <w:t xml:space="preserve"> more influenced by investment motives</w:t>
      </w:r>
      <w:r w:rsidR="00B63548">
        <w:rPr>
          <w:rFonts w:ascii="Times New Roman" w:hAnsi="Times New Roman" w:cs="Times New Roman"/>
          <w:sz w:val="24"/>
          <w:szCs w:val="24"/>
        </w:rPr>
        <w:t xml:space="preserve"> versus consumption motives</w:t>
      </w:r>
      <w:r w:rsidR="00B63548" w:rsidRPr="00B63548">
        <w:rPr>
          <w:rFonts w:ascii="Times New Roman" w:hAnsi="Times New Roman" w:cs="Times New Roman"/>
          <w:sz w:val="24"/>
          <w:szCs w:val="24"/>
        </w:rPr>
        <w:t xml:space="preserve">. There is evidence </w:t>
      </w:r>
      <w:r w:rsidR="00B63548">
        <w:rPr>
          <w:rFonts w:ascii="Times New Roman" w:hAnsi="Times New Roman" w:cs="Times New Roman"/>
          <w:sz w:val="24"/>
          <w:szCs w:val="24"/>
        </w:rPr>
        <w:t xml:space="preserve">of anchoring from the recent past for sellers as well.  Case and Shiller found </w:t>
      </w:r>
      <w:r w:rsidR="00B63548" w:rsidRPr="00B63548">
        <w:rPr>
          <w:rFonts w:ascii="Times New Roman" w:hAnsi="Times New Roman" w:cs="Times New Roman"/>
          <w:sz w:val="24"/>
          <w:szCs w:val="24"/>
        </w:rPr>
        <w:t>excess demand in boom markets and excess supply in the post-boom market</w:t>
      </w:r>
      <w:r w:rsidR="00B63548">
        <w:rPr>
          <w:rFonts w:ascii="Times New Roman" w:hAnsi="Times New Roman" w:cs="Times New Roman"/>
          <w:sz w:val="24"/>
          <w:szCs w:val="24"/>
        </w:rPr>
        <w:t xml:space="preserve">. Boom markets, with rapidly increasing prices could occur because of declining interest rates or strong economic growth relative to supply. In such market, time on the market declines.  When the economy is slowing, interest rates increasing and price increases slowing or declining, time on the market increases. </w:t>
      </w:r>
    </w:p>
    <w:p w14:paraId="068FD115" w14:textId="2913FF1A" w:rsidR="004F1DAD" w:rsidRPr="004F1DAD" w:rsidRDefault="004F1DAD" w:rsidP="004F1DAD">
      <w:pPr>
        <w:rPr>
          <w:rFonts w:ascii="Times New Roman" w:hAnsi="Times New Roman" w:cs="Times New Roman"/>
          <w:bCs/>
          <w:sz w:val="24"/>
          <w:szCs w:val="24"/>
        </w:rPr>
      </w:pPr>
      <w:r w:rsidRPr="004F1DAD">
        <w:rPr>
          <w:rFonts w:ascii="Times New Roman" w:hAnsi="Times New Roman" w:cs="Times New Roman"/>
          <w:sz w:val="24"/>
          <w:szCs w:val="24"/>
        </w:rPr>
        <w:lastRenderedPageBreak/>
        <w:t xml:space="preserve">Glower, </w:t>
      </w:r>
      <w:proofErr w:type="spellStart"/>
      <w:r w:rsidRPr="004F1DAD">
        <w:rPr>
          <w:rFonts w:ascii="Times New Roman" w:hAnsi="Times New Roman" w:cs="Times New Roman"/>
          <w:sz w:val="24"/>
          <w:szCs w:val="24"/>
        </w:rPr>
        <w:t>Haurin</w:t>
      </w:r>
      <w:proofErr w:type="spellEnd"/>
      <w:r w:rsidRPr="004F1DAD">
        <w:rPr>
          <w:rFonts w:ascii="Times New Roman" w:hAnsi="Times New Roman" w:cs="Times New Roman"/>
          <w:sz w:val="24"/>
          <w:szCs w:val="24"/>
        </w:rPr>
        <w:t xml:space="preserve">, &amp; </w:t>
      </w:r>
      <w:proofErr w:type="spellStart"/>
      <w:r w:rsidRPr="004F1DAD">
        <w:rPr>
          <w:rFonts w:ascii="Times New Roman" w:hAnsi="Times New Roman" w:cs="Times New Roman"/>
          <w:sz w:val="24"/>
          <w:szCs w:val="24"/>
        </w:rPr>
        <w:t>Hendershott</w:t>
      </w:r>
      <w:proofErr w:type="spellEnd"/>
      <w:r w:rsidRPr="004F1DAD">
        <w:rPr>
          <w:rFonts w:ascii="Times New Roman" w:hAnsi="Times New Roman" w:cs="Times New Roman"/>
          <w:sz w:val="24"/>
          <w:szCs w:val="24"/>
        </w:rPr>
        <w:t>, (1998) extend the literature by considering the market conditions on a single seller in a theoretical model.  They conclude that changes in market conditions can affect both liquidity (time to sell) and market value</w:t>
      </w:r>
      <w:r>
        <w:rPr>
          <w:rFonts w:ascii="Times New Roman" w:hAnsi="Times New Roman" w:cs="Times New Roman"/>
          <w:sz w:val="24"/>
          <w:szCs w:val="24"/>
        </w:rPr>
        <w:t>.</w:t>
      </w:r>
      <w:r w:rsidRPr="004F1DAD">
        <w:rPr>
          <w:rFonts w:ascii="Times New Roman" w:hAnsi="Times New Roman" w:cs="Times New Roman"/>
          <w:bCs/>
          <w:sz w:val="24"/>
          <w:szCs w:val="23"/>
        </w:rPr>
        <w:t xml:space="preserve"> </w:t>
      </w:r>
    </w:p>
    <w:p w14:paraId="3BE81425" w14:textId="35DFD132" w:rsidR="00BE7B3E" w:rsidRDefault="004F1DAD" w:rsidP="004F1DAD">
      <w:pPr>
        <w:rPr>
          <w:rFonts w:ascii="Times New Roman" w:hAnsi="Times New Roman" w:cs="Times New Roman"/>
          <w:bCs/>
          <w:sz w:val="24"/>
          <w:szCs w:val="24"/>
        </w:rPr>
      </w:pPr>
      <w:r w:rsidRPr="004F1DAD">
        <w:rPr>
          <w:rFonts w:ascii="Times New Roman" w:hAnsi="Times New Roman" w:cs="Times New Roman"/>
          <w:bCs/>
          <w:sz w:val="24"/>
          <w:szCs w:val="24"/>
        </w:rPr>
        <w:t>Hui, Wong and Wong (2012) explore the role of economic conditions and pricing on time on the market for property in Kowloon (near Hong Kong).  They find that over-pricing does extend the expected time on the market and also mention, like Anglin, Rutherford and Springer (2003) that many homes listed for sale expire without ever selling.   Like many studies before</w:t>
      </w:r>
      <w:r w:rsidR="00BE7B3E">
        <w:rPr>
          <w:rFonts w:ascii="Times New Roman" w:hAnsi="Times New Roman" w:cs="Times New Roman"/>
          <w:bCs/>
          <w:sz w:val="24"/>
          <w:szCs w:val="24"/>
        </w:rPr>
        <w:t>,</w:t>
      </w:r>
      <w:r w:rsidRPr="004F1DAD">
        <w:rPr>
          <w:rFonts w:ascii="Times New Roman" w:hAnsi="Times New Roman" w:cs="Times New Roman"/>
          <w:bCs/>
          <w:sz w:val="24"/>
          <w:szCs w:val="24"/>
        </w:rPr>
        <w:t xml:space="preserve"> they attempt to estimate true market value using a hedonic model and use a hazard model to estimate the probability of sale at any given point in time.  The contribution they make is through a set of variables to control for current economic conditions, such as employment trends, lending rate trends, and median household income.  </w:t>
      </w:r>
    </w:p>
    <w:p w14:paraId="4B5DB636" w14:textId="77777777" w:rsidR="00031A3F" w:rsidRDefault="00031A3F" w:rsidP="004F1DAD">
      <w:pPr>
        <w:rPr>
          <w:rFonts w:ascii="Times New Roman" w:hAnsi="Times New Roman" w:cs="Times New Roman"/>
          <w:bCs/>
          <w:sz w:val="24"/>
          <w:szCs w:val="24"/>
        </w:rPr>
      </w:pPr>
      <w:proofErr w:type="spellStart"/>
      <w:r>
        <w:rPr>
          <w:rFonts w:ascii="Times New Roman" w:hAnsi="Times New Roman" w:cs="Times New Roman"/>
          <w:bCs/>
          <w:sz w:val="24"/>
          <w:szCs w:val="24"/>
        </w:rPr>
        <w:t>Sklarz</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Follain</w:t>
      </w:r>
      <w:proofErr w:type="spellEnd"/>
      <w:r>
        <w:rPr>
          <w:rFonts w:ascii="Times New Roman" w:hAnsi="Times New Roman" w:cs="Times New Roman"/>
          <w:bCs/>
          <w:sz w:val="24"/>
          <w:szCs w:val="24"/>
        </w:rPr>
        <w:t xml:space="preserve"> and Miller (2015) used a set of much more localized market condition indicators that could affect price or days on market.  Among these, for the prior year, are:</w:t>
      </w:r>
    </w:p>
    <w:p w14:paraId="13DA43BC" w14:textId="77777777" w:rsidR="00031A3F" w:rsidRPr="00031A3F" w:rsidRDefault="00031A3F" w:rsidP="00631405">
      <w:pPr>
        <w:numPr>
          <w:ilvl w:val="0"/>
          <w:numId w:val="2"/>
        </w:numPr>
        <w:spacing w:after="0"/>
        <w:rPr>
          <w:rFonts w:ascii="Times New Roman" w:hAnsi="Times New Roman" w:cs="Times New Roman"/>
          <w:bCs/>
          <w:sz w:val="24"/>
          <w:szCs w:val="24"/>
        </w:rPr>
      </w:pPr>
      <w:r>
        <w:rPr>
          <w:rFonts w:ascii="Times New Roman" w:hAnsi="Times New Roman" w:cs="Times New Roman"/>
          <w:bCs/>
          <w:sz w:val="24"/>
          <w:szCs w:val="24"/>
        </w:rPr>
        <w:t xml:space="preserve"> </w:t>
      </w:r>
      <w:r w:rsidRPr="00031A3F">
        <w:rPr>
          <w:rFonts w:ascii="Times New Roman" w:hAnsi="Times New Roman" w:cs="Times New Roman"/>
          <w:bCs/>
          <w:sz w:val="24"/>
          <w:szCs w:val="24"/>
        </w:rPr>
        <w:t>Number of Sales</w:t>
      </w:r>
    </w:p>
    <w:p w14:paraId="37653F51"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Absorption Rate</w:t>
      </w:r>
    </w:p>
    <w:p w14:paraId="423ACCDC"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Number of Active Listings</w:t>
      </w:r>
    </w:p>
    <w:p w14:paraId="64D1E3DE"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Months of Inventory Remaining</w:t>
      </w:r>
    </w:p>
    <w:p w14:paraId="631FB495"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Median Sold Price</w:t>
      </w:r>
    </w:p>
    <w:p w14:paraId="525F9869"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Median Sold Market Time</w:t>
      </w:r>
    </w:p>
    <w:p w14:paraId="3866DDA5"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Median Active Listing Price</w:t>
      </w:r>
    </w:p>
    <w:p w14:paraId="5D51D330"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Median Listing Active Market Time</w:t>
      </w:r>
    </w:p>
    <w:p w14:paraId="271FC6E2" w14:textId="77777777" w:rsidR="00031A3F" w:rsidRPr="00031A3F" w:rsidRDefault="00031A3F" w:rsidP="00631405">
      <w:pPr>
        <w:numPr>
          <w:ilvl w:val="0"/>
          <w:numId w:val="2"/>
        </w:numPr>
        <w:spacing w:after="0"/>
        <w:rPr>
          <w:rFonts w:ascii="Times New Roman" w:hAnsi="Times New Roman" w:cs="Times New Roman"/>
          <w:bCs/>
          <w:sz w:val="24"/>
          <w:szCs w:val="24"/>
        </w:rPr>
      </w:pPr>
      <w:r w:rsidRPr="00031A3F">
        <w:rPr>
          <w:rFonts w:ascii="Times New Roman" w:hAnsi="Times New Roman" w:cs="Times New Roman"/>
          <w:bCs/>
          <w:sz w:val="24"/>
          <w:szCs w:val="24"/>
        </w:rPr>
        <w:t>Median Sold-To-List Price Ratio</w:t>
      </w:r>
    </w:p>
    <w:p w14:paraId="091D9BE7" w14:textId="77777777" w:rsidR="00031A3F" w:rsidRPr="00031A3F" w:rsidRDefault="00031A3F" w:rsidP="00031A3F">
      <w:pPr>
        <w:numPr>
          <w:ilvl w:val="0"/>
          <w:numId w:val="2"/>
        </w:numPr>
        <w:rPr>
          <w:rFonts w:ascii="Times New Roman" w:hAnsi="Times New Roman" w:cs="Times New Roman"/>
          <w:bCs/>
          <w:sz w:val="24"/>
          <w:szCs w:val="24"/>
        </w:rPr>
      </w:pPr>
      <w:r w:rsidRPr="00031A3F">
        <w:rPr>
          <w:rFonts w:ascii="Times New Roman" w:hAnsi="Times New Roman" w:cs="Times New Roman"/>
          <w:bCs/>
          <w:sz w:val="24"/>
          <w:szCs w:val="24"/>
        </w:rPr>
        <w:t>Number of Foreclosure Sales as a Percentage of Regular and REO Sales</w:t>
      </w:r>
    </w:p>
    <w:p w14:paraId="66694AEC" w14:textId="6B42BF06" w:rsidR="003D2D93" w:rsidRDefault="00031A3F" w:rsidP="004F1DAD">
      <w:pPr>
        <w:rPr>
          <w:rFonts w:ascii="Times New Roman" w:hAnsi="Times New Roman" w:cs="Times New Roman"/>
          <w:bCs/>
          <w:sz w:val="24"/>
          <w:szCs w:val="24"/>
        </w:rPr>
      </w:pPr>
      <w:r>
        <w:rPr>
          <w:rFonts w:ascii="Times New Roman" w:hAnsi="Times New Roman" w:cs="Times New Roman"/>
          <w:bCs/>
          <w:sz w:val="24"/>
          <w:szCs w:val="24"/>
        </w:rPr>
        <w:t>Markets are graded from distressed to hot, based on seven categories.  Most of the time most markets are in good or normal ranges</w:t>
      </w:r>
      <w:r w:rsidR="008E0E8D">
        <w:rPr>
          <w:rFonts w:ascii="Times New Roman" w:hAnsi="Times New Roman" w:cs="Times New Roman"/>
          <w:bCs/>
          <w:sz w:val="24"/>
          <w:szCs w:val="24"/>
        </w:rPr>
        <w:t>. In 2009 and 2010 the market was</w:t>
      </w:r>
      <w:r>
        <w:rPr>
          <w:rFonts w:ascii="Times New Roman" w:hAnsi="Times New Roman" w:cs="Times New Roman"/>
          <w:bCs/>
          <w:sz w:val="24"/>
          <w:szCs w:val="24"/>
        </w:rPr>
        <w:t xml:space="preserve"> soft or distressed</w:t>
      </w:r>
      <w:r w:rsidR="00142926">
        <w:rPr>
          <w:rFonts w:ascii="Times New Roman" w:hAnsi="Times New Roman" w:cs="Times New Roman"/>
          <w:bCs/>
          <w:sz w:val="24"/>
          <w:szCs w:val="24"/>
        </w:rPr>
        <w:t>,</w:t>
      </w:r>
      <w:r w:rsidR="008E0E8D">
        <w:rPr>
          <w:rFonts w:ascii="Times New Roman" w:hAnsi="Times New Roman" w:cs="Times New Roman"/>
          <w:bCs/>
          <w:sz w:val="24"/>
          <w:szCs w:val="24"/>
        </w:rPr>
        <w:t xml:space="preserve"> and in 2006 the market was</w:t>
      </w:r>
      <w:r>
        <w:rPr>
          <w:rFonts w:ascii="Times New Roman" w:hAnsi="Times New Roman" w:cs="Times New Roman"/>
          <w:bCs/>
          <w:sz w:val="24"/>
          <w:szCs w:val="24"/>
        </w:rPr>
        <w:t xml:space="preserve"> strong and hot.  An example of one county market, Maricopa (Phoenix) is shown below</w:t>
      </w:r>
      <w:r w:rsidR="00142926">
        <w:rPr>
          <w:rFonts w:ascii="Times New Roman" w:hAnsi="Times New Roman" w:cs="Times New Roman"/>
          <w:bCs/>
          <w:sz w:val="24"/>
          <w:szCs w:val="24"/>
        </w:rPr>
        <w:t xml:space="preserve"> in Exhibit 1</w:t>
      </w:r>
      <w:r>
        <w:rPr>
          <w:rFonts w:ascii="Times New Roman" w:hAnsi="Times New Roman" w:cs="Times New Roman"/>
          <w:bCs/>
          <w:sz w:val="24"/>
          <w:szCs w:val="24"/>
        </w:rPr>
        <w:t xml:space="preserve"> with market conditions shown over time.  We see the market condition rating in red and the price changes in blue.</w:t>
      </w:r>
      <w:r w:rsidR="00142926">
        <w:rPr>
          <w:rFonts w:ascii="Times New Roman" w:hAnsi="Times New Roman" w:cs="Times New Roman"/>
          <w:bCs/>
          <w:sz w:val="24"/>
          <w:szCs w:val="24"/>
        </w:rPr>
        <w:t xml:space="preserve"> The data shown is simultaneous with no leads or lags. </w:t>
      </w:r>
      <w:proofErr w:type="gramStart"/>
      <w:r w:rsidR="00142926">
        <w:rPr>
          <w:rFonts w:ascii="Times New Roman" w:hAnsi="Times New Roman" w:cs="Times New Roman"/>
          <w:bCs/>
          <w:sz w:val="24"/>
          <w:szCs w:val="24"/>
        </w:rPr>
        <w:t>Generally</w:t>
      </w:r>
      <w:proofErr w:type="gramEnd"/>
      <w:r w:rsidR="00142926">
        <w:rPr>
          <w:rFonts w:ascii="Times New Roman" w:hAnsi="Times New Roman" w:cs="Times New Roman"/>
          <w:bCs/>
          <w:sz w:val="24"/>
          <w:szCs w:val="24"/>
        </w:rPr>
        <w:t xml:space="preserve"> we see market conditions leading price changes, but that lead seems to be decreasing over the years.</w:t>
      </w:r>
    </w:p>
    <w:p w14:paraId="0E516D00" w14:textId="64CF4FC5" w:rsidR="00145BB2" w:rsidRDefault="00145BB2" w:rsidP="004F1DAD">
      <w:pPr>
        <w:rPr>
          <w:rFonts w:ascii="Times New Roman" w:hAnsi="Times New Roman" w:cs="Times New Roman"/>
          <w:bCs/>
          <w:sz w:val="24"/>
          <w:szCs w:val="24"/>
        </w:rPr>
      </w:pPr>
    </w:p>
    <w:p w14:paraId="555C681F" w14:textId="6E3AF640" w:rsidR="00031A3F" w:rsidRDefault="00031A3F" w:rsidP="00631405">
      <w:pPr>
        <w:keepNext/>
        <w:rPr>
          <w:rFonts w:ascii="Times New Roman" w:hAnsi="Times New Roman" w:cs="Times New Roman"/>
          <w:bCs/>
          <w:sz w:val="24"/>
          <w:szCs w:val="24"/>
        </w:rPr>
      </w:pPr>
      <w:r>
        <w:rPr>
          <w:rFonts w:ascii="Times New Roman" w:hAnsi="Times New Roman" w:cs="Times New Roman"/>
          <w:bCs/>
          <w:sz w:val="24"/>
          <w:szCs w:val="24"/>
        </w:rPr>
        <w:lastRenderedPageBreak/>
        <w:t>Exhibit 1: Market Conditions Vary Over Time</w:t>
      </w:r>
    </w:p>
    <w:p w14:paraId="6705F513" w14:textId="54862EDA" w:rsidR="00031A3F" w:rsidRDefault="00031A3F" w:rsidP="004F1DAD">
      <w:pPr>
        <w:rPr>
          <w:rFonts w:ascii="Times New Roman" w:hAnsi="Times New Roman" w:cs="Times New Roman"/>
          <w:bCs/>
          <w:sz w:val="24"/>
          <w:szCs w:val="24"/>
        </w:rPr>
      </w:pPr>
      <w:r w:rsidRPr="00031A3F">
        <w:rPr>
          <w:noProof/>
        </w:rPr>
        <w:drawing>
          <wp:inline distT="0" distB="0" distL="0" distR="0" wp14:anchorId="3AC03F15" wp14:editId="69EFB468">
            <wp:extent cx="5943600" cy="3409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409950"/>
                    </a:xfrm>
                    <a:prstGeom prst="rect">
                      <a:avLst/>
                    </a:prstGeom>
                  </pic:spPr>
                </pic:pic>
              </a:graphicData>
            </a:graphic>
          </wp:inline>
        </w:drawing>
      </w:r>
    </w:p>
    <w:p w14:paraId="51554D2D" w14:textId="3354201E" w:rsidR="00031A3F" w:rsidRDefault="00031A3F" w:rsidP="004F1DAD">
      <w:pPr>
        <w:rPr>
          <w:rFonts w:ascii="Times New Roman" w:hAnsi="Times New Roman" w:cs="Times New Roman"/>
          <w:bCs/>
          <w:sz w:val="24"/>
          <w:szCs w:val="24"/>
        </w:rPr>
      </w:pPr>
      <w:r>
        <w:rPr>
          <w:rFonts w:ascii="Times New Roman" w:hAnsi="Times New Roman" w:cs="Times New Roman"/>
          <w:bCs/>
          <w:sz w:val="24"/>
          <w:szCs w:val="24"/>
        </w:rPr>
        <w:t>Market conditions are continuously graded by zip code for the entire US and this data is fed into our empirical analysis on estimating time on the market.</w:t>
      </w:r>
      <w:r w:rsidR="00142926">
        <w:rPr>
          <w:rFonts w:ascii="Times New Roman" w:hAnsi="Times New Roman" w:cs="Times New Roman"/>
          <w:bCs/>
          <w:sz w:val="24"/>
          <w:szCs w:val="24"/>
        </w:rPr>
        <w:t xml:space="preserve">  One of the more prominent indicators of market conditions, months remaining inventory, is further explored below in section four, but first we must point out the role of seasonality, seldom controlled by most of the prior literature, in terms of impact on time to sell.</w:t>
      </w:r>
    </w:p>
    <w:p w14:paraId="7EE72505" w14:textId="77777777" w:rsidR="003D2D93" w:rsidRDefault="003D2D93" w:rsidP="004F1DAD">
      <w:pPr>
        <w:rPr>
          <w:rFonts w:ascii="Times New Roman" w:hAnsi="Times New Roman" w:cs="Times New Roman"/>
          <w:bCs/>
          <w:sz w:val="24"/>
          <w:szCs w:val="24"/>
        </w:rPr>
      </w:pPr>
    </w:p>
    <w:p w14:paraId="7FBF92C7" w14:textId="1BA83F77" w:rsidR="004F1DAD" w:rsidRDefault="004F1DAD">
      <w:pPr>
        <w:rPr>
          <w:rFonts w:ascii="Times New Roman" w:hAnsi="Times New Roman" w:cs="Times New Roman"/>
          <w:sz w:val="24"/>
          <w:szCs w:val="24"/>
        </w:rPr>
      </w:pPr>
      <w:r>
        <w:rPr>
          <w:rFonts w:ascii="Times New Roman" w:hAnsi="Times New Roman" w:cs="Times New Roman"/>
          <w:sz w:val="24"/>
          <w:szCs w:val="24"/>
        </w:rPr>
        <w:t>III Seasonality and Time on the Market</w:t>
      </w:r>
    </w:p>
    <w:p w14:paraId="786BF7BE" w14:textId="6B8A0C3C" w:rsidR="006870DD" w:rsidRPr="006870DD" w:rsidRDefault="006870DD" w:rsidP="006870DD">
      <w:pPr>
        <w:rPr>
          <w:rFonts w:ascii="Times New Roman" w:hAnsi="Times New Roman" w:cs="Times New Roman"/>
          <w:sz w:val="24"/>
          <w:szCs w:val="24"/>
        </w:rPr>
      </w:pPr>
      <w:r w:rsidRPr="006870DD">
        <w:rPr>
          <w:rFonts w:ascii="Times New Roman" w:hAnsi="Times New Roman" w:cs="Times New Roman"/>
          <w:sz w:val="24"/>
          <w:szCs w:val="24"/>
        </w:rPr>
        <w:t>There is evidence of inefficiency in the housing market with respect to the volume of single-family homes</w:t>
      </w:r>
      <w:r>
        <w:rPr>
          <w:rFonts w:ascii="Times New Roman" w:hAnsi="Times New Roman" w:cs="Times New Roman"/>
          <w:sz w:val="24"/>
          <w:szCs w:val="24"/>
        </w:rPr>
        <w:t xml:space="preserve"> over the course of a year</w:t>
      </w:r>
      <w:r w:rsidRPr="006870DD">
        <w:rPr>
          <w:rFonts w:ascii="Times New Roman" w:hAnsi="Times New Roman" w:cs="Times New Roman"/>
          <w:sz w:val="24"/>
          <w:szCs w:val="24"/>
        </w:rPr>
        <w:t>.</w:t>
      </w:r>
      <w:r w:rsidRPr="006870DD">
        <w:rPr>
          <w:rFonts w:ascii="Times New Roman" w:hAnsi="Times New Roman" w:cs="Times New Roman"/>
          <w:sz w:val="24"/>
          <w:szCs w:val="24"/>
          <w:vertAlign w:val="superscript"/>
        </w:rPr>
        <w:footnoteReference w:id="4"/>
      </w:r>
      <w:r w:rsidRPr="006870DD">
        <w:rPr>
          <w:rFonts w:ascii="Times New Roman" w:hAnsi="Times New Roman" w:cs="Times New Roman"/>
          <w:sz w:val="24"/>
          <w:szCs w:val="24"/>
        </w:rPr>
        <w:t xml:space="preserve"> Sales of homes peak at different times of the year across the country</w:t>
      </w:r>
      <w:r>
        <w:rPr>
          <w:rFonts w:ascii="Times New Roman" w:hAnsi="Times New Roman" w:cs="Times New Roman"/>
          <w:sz w:val="24"/>
          <w:szCs w:val="24"/>
        </w:rPr>
        <w:t>, although many common factors affect these cycles like school patterns, employment patterns, holidays and weather</w:t>
      </w:r>
      <w:r w:rsidR="003D2D93">
        <w:rPr>
          <w:rFonts w:ascii="Times New Roman" w:hAnsi="Times New Roman" w:cs="Times New Roman"/>
          <w:sz w:val="24"/>
          <w:szCs w:val="24"/>
        </w:rPr>
        <w:t>.</w:t>
      </w:r>
      <w:r>
        <w:rPr>
          <w:rFonts w:ascii="Times New Roman" w:hAnsi="Times New Roman" w:cs="Times New Roman"/>
          <w:sz w:val="24"/>
          <w:szCs w:val="24"/>
        </w:rPr>
        <w:t xml:space="preserve"> </w:t>
      </w:r>
      <w:r w:rsidRPr="006870DD">
        <w:rPr>
          <w:rFonts w:ascii="Times New Roman" w:hAnsi="Times New Roman" w:cs="Times New Roman"/>
          <w:sz w:val="24"/>
          <w:szCs w:val="24"/>
        </w:rPr>
        <w:t xml:space="preserve">While it is a common knowledge among real estate agents, Goodman (1993) established the pattern of home sales peaking during the Spring-Summer season. Having seen inefficiency with respect to home volumes, it is reasonable to question the existence of informational inefficiency with respect to seasonality in home prices. </w:t>
      </w:r>
      <w:r w:rsidR="003D2D93">
        <w:rPr>
          <w:rFonts w:ascii="Times New Roman" w:hAnsi="Times New Roman" w:cs="Times New Roman"/>
          <w:sz w:val="24"/>
          <w:szCs w:val="24"/>
        </w:rPr>
        <w:t xml:space="preserve">This was first shown by </w:t>
      </w:r>
      <w:proofErr w:type="spellStart"/>
      <w:r w:rsidR="003D2D93">
        <w:rPr>
          <w:rFonts w:ascii="Times New Roman" w:hAnsi="Times New Roman" w:cs="Times New Roman"/>
          <w:sz w:val="24"/>
          <w:szCs w:val="24"/>
        </w:rPr>
        <w:t>Kapalanski</w:t>
      </w:r>
      <w:proofErr w:type="spellEnd"/>
      <w:r w:rsidR="003D2D93">
        <w:rPr>
          <w:rFonts w:ascii="Times New Roman" w:hAnsi="Times New Roman" w:cs="Times New Roman"/>
          <w:sz w:val="24"/>
          <w:szCs w:val="24"/>
        </w:rPr>
        <w:t xml:space="preserve"> and Levi (2009) and then extended by Miller, </w:t>
      </w:r>
      <w:proofErr w:type="spellStart"/>
      <w:r w:rsidR="003D2D93">
        <w:rPr>
          <w:rFonts w:ascii="Times New Roman" w:hAnsi="Times New Roman" w:cs="Times New Roman"/>
          <w:sz w:val="24"/>
          <w:szCs w:val="24"/>
        </w:rPr>
        <w:t>Sah</w:t>
      </w:r>
      <w:proofErr w:type="spellEnd"/>
      <w:r w:rsidR="003D2D93">
        <w:rPr>
          <w:rFonts w:ascii="Times New Roman" w:hAnsi="Times New Roman" w:cs="Times New Roman"/>
          <w:sz w:val="24"/>
          <w:szCs w:val="24"/>
        </w:rPr>
        <w:t xml:space="preserve">, </w:t>
      </w:r>
      <w:proofErr w:type="spellStart"/>
      <w:r w:rsidR="003D2D93">
        <w:rPr>
          <w:rFonts w:ascii="Times New Roman" w:hAnsi="Times New Roman" w:cs="Times New Roman"/>
          <w:sz w:val="24"/>
          <w:szCs w:val="24"/>
        </w:rPr>
        <w:t>Sklarz</w:t>
      </w:r>
      <w:proofErr w:type="spellEnd"/>
      <w:r w:rsidR="003D2D93">
        <w:rPr>
          <w:rFonts w:ascii="Times New Roman" w:hAnsi="Times New Roman" w:cs="Times New Roman"/>
          <w:sz w:val="24"/>
          <w:szCs w:val="24"/>
        </w:rPr>
        <w:t xml:space="preserve"> and </w:t>
      </w:r>
      <w:proofErr w:type="spellStart"/>
      <w:r w:rsidR="003D2D93">
        <w:rPr>
          <w:rFonts w:ascii="Times New Roman" w:hAnsi="Times New Roman" w:cs="Times New Roman"/>
          <w:sz w:val="24"/>
          <w:szCs w:val="24"/>
        </w:rPr>
        <w:t>Pampulov</w:t>
      </w:r>
      <w:proofErr w:type="spellEnd"/>
      <w:r w:rsidR="008E0E8D">
        <w:rPr>
          <w:rFonts w:ascii="Times New Roman" w:hAnsi="Times New Roman" w:cs="Times New Roman"/>
          <w:sz w:val="24"/>
          <w:szCs w:val="24"/>
        </w:rPr>
        <w:t xml:space="preserve"> (</w:t>
      </w:r>
      <w:r w:rsidR="003D2D93">
        <w:rPr>
          <w:rFonts w:ascii="Times New Roman" w:hAnsi="Times New Roman" w:cs="Times New Roman"/>
          <w:sz w:val="24"/>
          <w:szCs w:val="24"/>
        </w:rPr>
        <w:t>2017</w:t>
      </w:r>
      <w:r w:rsidR="008E0E8D">
        <w:rPr>
          <w:rFonts w:ascii="Times New Roman" w:hAnsi="Times New Roman" w:cs="Times New Roman"/>
          <w:sz w:val="24"/>
          <w:szCs w:val="24"/>
        </w:rPr>
        <w:t>)</w:t>
      </w:r>
      <w:r w:rsidR="003D2D93">
        <w:rPr>
          <w:rFonts w:ascii="Times New Roman" w:hAnsi="Times New Roman" w:cs="Times New Roman"/>
          <w:sz w:val="24"/>
          <w:szCs w:val="24"/>
        </w:rPr>
        <w:t>.  Both studies demonstrated that not only do volumes vary</w:t>
      </w:r>
      <w:r w:rsidR="001622D5">
        <w:rPr>
          <w:rFonts w:ascii="Times New Roman" w:hAnsi="Times New Roman" w:cs="Times New Roman"/>
          <w:sz w:val="24"/>
          <w:szCs w:val="24"/>
        </w:rPr>
        <w:t>,</w:t>
      </w:r>
      <w:r w:rsidR="003D2D93">
        <w:rPr>
          <w:rFonts w:ascii="Times New Roman" w:hAnsi="Times New Roman" w:cs="Times New Roman"/>
          <w:sz w:val="24"/>
          <w:szCs w:val="24"/>
        </w:rPr>
        <w:t xml:space="preserve"> but prices also vary over the course of a year, more so in extreme weather markets and less so in more stable weather markets. </w:t>
      </w:r>
    </w:p>
    <w:p w14:paraId="2914AB3C" w14:textId="7E3A62CB" w:rsidR="006870DD" w:rsidRPr="006870DD" w:rsidRDefault="003D2D93" w:rsidP="006870DD">
      <w:pPr>
        <w:rPr>
          <w:rFonts w:ascii="Times New Roman" w:hAnsi="Times New Roman" w:cs="Times New Roman"/>
          <w:sz w:val="24"/>
          <w:szCs w:val="24"/>
        </w:rPr>
      </w:pPr>
      <w:r>
        <w:rPr>
          <w:rFonts w:ascii="Times New Roman" w:hAnsi="Times New Roman" w:cs="Times New Roman"/>
          <w:sz w:val="24"/>
          <w:szCs w:val="24"/>
        </w:rPr>
        <w:t>Miller et al added</w:t>
      </w:r>
      <w:r w:rsidR="006870DD" w:rsidRPr="006870DD">
        <w:rPr>
          <w:rFonts w:ascii="Times New Roman" w:hAnsi="Times New Roman" w:cs="Times New Roman"/>
          <w:sz w:val="24"/>
          <w:szCs w:val="24"/>
        </w:rPr>
        <w:t xml:space="preserve"> to the work by </w:t>
      </w:r>
      <w:proofErr w:type="spellStart"/>
      <w:r w:rsidR="006870DD" w:rsidRPr="006870DD">
        <w:rPr>
          <w:rFonts w:ascii="Times New Roman" w:hAnsi="Times New Roman" w:cs="Times New Roman"/>
          <w:sz w:val="24"/>
          <w:szCs w:val="24"/>
        </w:rPr>
        <w:t>Kaplanski</w:t>
      </w:r>
      <w:proofErr w:type="spellEnd"/>
      <w:r w:rsidR="006870DD" w:rsidRPr="006870DD">
        <w:rPr>
          <w:rFonts w:ascii="Times New Roman" w:hAnsi="Times New Roman" w:cs="Times New Roman"/>
          <w:sz w:val="24"/>
          <w:szCs w:val="24"/>
        </w:rPr>
        <w:t xml:space="preserve"> and Levi (2009) by greatly expanding the sample size, exploring new theories and analyzing the seasonality effect in home prices at the Core Base </w:t>
      </w:r>
      <w:r w:rsidR="006870DD" w:rsidRPr="006870DD">
        <w:rPr>
          <w:rFonts w:ascii="Times New Roman" w:hAnsi="Times New Roman" w:cs="Times New Roman"/>
          <w:sz w:val="24"/>
          <w:szCs w:val="24"/>
        </w:rPr>
        <w:lastRenderedPageBreak/>
        <w:t>Statistical Area (CBSA) level. If homeowners wished to maximize investment gains, they would certainly sell during the peak months and purchase during the troughs.  Unfortunately for most homeowners, the decision to move often creates the need for both selling and buying, lest the homeowners decide to temporarily rent and move twice, adding significant transactions costs to the move and negating much of the benefits from timing the purchase and sale.  To the extent these moving costs are significant, the variations in price observed here over the course of the year is rational and explainable.  Still, it does allow for some exploitation by first-time buyers or last-time sellers as well as speculators in the housing market.</w:t>
      </w:r>
    </w:p>
    <w:p w14:paraId="7B6B10BE" w14:textId="6D8F1D13" w:rsidR="004F1DAD" w:rsidRDefault="006870DD">
      <w:pPr>
        <w:rPr>
          <w:rFonts w:ascii="Times New Roman" w:hAnsi="Times New Roman" w:cs="Times New Roman"/>
          <w:sz w:val="24"/>
          <w:szCs w:val="24"/>
        </w:rPr>
      </w:pPr>
      <w:r w:rsidRPr="006870DD">
        <w:rPr>
          <w:rFonts w:ascii="Times New Roman" w:hAnsi="Times New Roman" w:cs="Times New Roman"/>
          <w:sz w:val="24"/>
          <w:szCs w:val="24"/>
        </w:rPr>
        <w:t xml:space="preserve"> </w:t>
      </w:r>
      <w:r w:rsidR="004F1DAD">
        <w:rPr>
          <w:rFonts w:ascii="Times New Roman" w:hAnsi="Times New Roman" w:cs="Times New Roman"/>
          <w:sz w:val="24"/>
          <w:szCs w:val="24"/>
        </w:rPr>
        <w:t>IV Months Remaining Inventory</w:t>
      </w:r>
      <w:r w:rsidR="00031A3F">
        <w:rPr>
          <w:rFonts w:ascii="Times New Roman" w:hAnsi="Times New Roman" w:cs="Times New Roman"/>
          <w:sz w:val="24"/>
          <w:szCs w:val="24"/>
        </w:rPr>
        <w:t>, MRI,</w:t>
      </w:r>
      <w:r w:rsidR="004F1DAD">
        <w:rPr>
          <w:rFonts w:ascii="Times New Roman" w:hAnsi="Times New Roman" w:cs="Times New Roman"/>
          <w:sz w:val="24"/>
          <w:szCs w:val="24"/>
        </w:rPr>
        <w:t xml:space="preserve"> by Price Range</w:t>
      </w:r>
    </w:p>
    <w:p w14:paraId="2362F239" w14:textId="0953442A" w:rsidR="00DC7981" w:rsidRDefault="00DC7981">
      <w:pPr>
        <w:rPr>
          <w:rFonts w:ascii="Times New Roman" w:hAnsi="Times New Roman" w:cs="Times New Roman"/>
          <w:sz w:val="24"/>
          <w:szCs w:val="24"/>
        </w:rPr>
      </w:pPr>
      <w:r>
        <w:rPr>
          <w:rFonts w:ascii="Times New Roman" w:hAnsi="Times New Roman" w:cs="Times New Roman"/>
          <w:sz w:val="24"/>
          <w:szCs w:val="24"/>
        </w:rPr>
        <w:t>Among the market conditions indicators, one is fairly dominant.  It is months remaining inventory or MRI.  Generally, markets with less than three months of inventory are strong or hot. Those with three to six months are fairly normal, while those with more than six months are softer.  But we do see that what is normal also varies by price range and we show that below.</w:t>
      </w:r>
    </w:p>
    <w:p w14:paraId="67AD2054" w14:textId="36B9FE20" w:rsidR="000D23E5" w:rsidRDefault="00DC7981">
      <w:pPr>
        <w:rPr>
          <w:rFonts w:ascii="Times New Roman" w:hAnsi="Times New Roman" w:cs="Times New Roman"/>
          <w:sz w:val="24"/>
          <w:szCs w:val="24"/>
        </w:rPr>
      </w:pPr>
      <w:r>
        <w:rPr>
          <w:rFonts w:ascii="Times New Roman" w:hAnsi="Times New Roman" w:cs="Times New Roman"/>
          <w:sz w:val="24"/>
          <w:szCs w:val="24"/>
        </w:rPr>
        <w:t>W</w:t>
      </w:r>
      <w:r w:rsidR="00585020">
        <w:rPr>
          <w:rFonts w:ascii="Times New Roman" w:hAnsi="Times New Roman" w:cs="Times New Roman"/>
          <w:sz w:val="24"/>
          <w:szCs w:val="24"/>
        </w:rPr>
        <w:t xml:space="preserve">e show </w:t>
      </w:r>
      <w:r>
        <w:rPr>
          <w:rFonts w:ascii="Times New Roman" w:hAnsi="Times New Roman" w:cs="Times New Roman"/>
          <w:sz w:val="24"/>
          <w:szCs w:val="24"/>
        </w:rPr>
        <w:t xml:space="preserve">below </w:t>
      </w:r>
      <w:r w:rsidR="00585020">
        <w:rPr>
          <w:rFonts w:ascii="Times New Roman" w:hAnsi="Times New Roman" w:cs="Times New Roman"/>
          <w:sz w:val="24"/>
          <w:szCs w:val="24"/>
        </w:rPr>
        <w:t>three exhibits that represent typical patterns of increasing months remaining inventory by price range, for Cincinnati, Columbus (OH), and Indianapolis</w:t>
      </w:r>
      <w:r>
        <w:rPr>
          <w:rFonts w:ascii="Times New Roman" w:hAnsi="Times New Roman" w:cs="Times New Roman"/>
          <w:sz w:val="24"/>
          <w:szCs w:val="24"/>
        </w:rPr>
        <w:t>, with additional exhibits for Atlanta and San Diego below</w:t>
      </w:r>
      <w:r w:rsidR="00585020">
        <w:rPr>
          <w:rFonts w:ascii="Times New Roman" w:hAnsi="Times New Roman" w:cs="Times New Roman"/>
          <w:sz w:val="24"/>
          <w:szCs w:val="24"/>
        </w:rPr>
        <w:t xml:space="preserve">. Generally, the </w:t>
      </w:r>
      <w:r w:rsidR="00710821">
        <w:rPr>
          <w:rFonts w:ascii="Times New Roman" w:hAnsi="Times New Roman" w:cs="Times New Roman"/>
          <w:sz w:val="24"/>
          <w:szCs w:val="24"/>
        </w:rPr>
        <w:t>higher the price range</w:t>
      </w:r>
      <w:r w:rsidR="000D23E5">
        <w:rPr>
          <w:rFonts w:ascii="Times New Roman" w:hAnsi="Times New Roman" w:cs="Times New Roman"/>
          <w:sz w:val="24"/>
          <w:szCs w:val="24"/>
        </w:rPr>
        <w:t xml:space="preserve"> within a given market,</w:t>
      </w:r>
      <w:r w:rsidR="00710821">
        <w:rPr>
          <w:rFonts w:ascii="Times New Roman" w:hAnsi="Times New Roman" w:cs="Times New Roman"/>
          <w:sz w:val="24"/>
          <w:szCs w:val="24"/>
        </w:rPr>
        <w:t xml:space="preserve"> the more time is required to sell and most often, the months remaining inventory will be higher.  Stated another way, </w:t>
      </w:r>
      <w:r w:rsidR="000D23E5">
        <w:rPr>
          <w:rFonts w:ascii="Times New Roman" w:hAnsi="Times New Roman" w:cs="Times New Roman"/>
          <w:sz w:val="24"/>
          <w:szCs w:val="24"/>
        </w:rPr>
        <w:t xml:space="preserve">relatively </w:t>
      </w:r>
      <w:r w:rsidR="00710821">
        <w:rPr>
          <w:rFonts w:ascii="Times New Roman" w:hAnsi="Times New Roman" w:cs="Times New Roman"/>
          <w:sz w:val="24"/>
          <w:szCs w:val="24"/>
        </w:rPr>
        <w:t>higher priced homes</w:t>
      </w:r>
      <w:r w:rsidR="000D23E5">
        <w:rPr>
          <w:rFonts w:ascii="Times New Roman" w:hAnsi="Times New Roman" w:cs="Times New Roman"/>
          <w:sz w:val="24"/>
          <w:szCs w:val="24"/>
        </w:rPr>
        <w:t>, within the same market,</w:t>
      </w:r>
      <w:r w:rsidR="00710821">
        <w:rPr>
          <w:rFonts w:ascii="Times New Roman" w:hAnsi="Times New Roman" w:cs="Times New Roman"/>
          <w:sz w:val="24"/>
          <w:szCs w:val="24"/>
        </w:rPr>
        <w:t xml:space="preserve"> are usually thinner markets requiring more time to sell.  This </w:t>
      </w:r>
      <w:r w:rsidR="000D23E5">
        <w:rPr>
          <w:rFonts w:ascii="Times New Roman" w:hAnsi="Times New Roman" w:cs="Times New Roman"/>
          <w:sz w:val="24"/>
          <w:szCs w:val="24"/>
        </w:rPr>
        <w:t xml:space="preserve">is </w:t>
      </w:r>
      <w:r w:rsidR="00710821">
        <w:rPr>
          <w:rFonts w:ascii="Times New Roman" w:hAnsi="Times New Roman" w:cs="Times New Roman"/>
          <w:sz w:val="24"/>
          <w:szCs w:val="24"/>
        </w:rPr>
        <w:t xml:space="preserve">further tested </w:t>
      </w:r>
      <w:r w:rsidR="000D23E5">
        <w:rPr>
          <w:rFonts w:ascii="Times New Roman" w:hAnsi="Times New Roman" w:cs="Times New Roman"/>
          <w:sz w:val="24"/>
          <w:szCs w:val="24"/>
        </w:rPr>
        <w:t>across prices ranges by CBSA below.</w:t>
      </w:r>
    </w:p>
    <w:p w14:paraId="563B0355" w14:textId="11E3B540" w:rsidR="00585020" w:rsidRDefault="00585020">
      <w:pPr>
        <w:rPr>
          <w:rFonts w:ascii="Times New Roman" w:hAnsi="Times New Roman" w:cs="Times New Roman"/>
          <w:sz w:val="24"/>
          <w:szCs w:val="24"/>
        </w:rPr>
      </w:pPr>
      <w:r>
        <w:rPr>
          <w:rFonts w:ascii="Times New Roman" w:hAnsi="Times New Roman" w:cs="Times New Roman"/>
          <w:sz w:val="24"/>
          <w:szCs w:val="24"/>
        </w:rPr>
        <w:t xml:space="preserve">Exhibit </w:t>
      </w:r>
      <w:r w:rsidR="00031A3F">
        <w:rPr>
          <w:rFonts w:ascii="Times New Roman" w:hAnsi="Times New Roman" w:cs="Times New Roman"/>
          <w:sz w:val="24"/>
          <w:szCs w:val="24"/>
        </w:rPr>
        <w:t>2</w:t>
      </w:r>
      <w:r>
        <w:rPr>
          <w:rFonts w:ascii="Times New Roman" w:hAnsi="Times New Roman" w:cs="Times New Roman"/>
          <w:sz w:val="24"/>
          <w:szCs w:val="24"/>
        </w:rPr>
        <w:t>: Months Remaining Inventory for Three Midwest CBSAs</w:t>
      </w:r>
    </w:p>
    <w:p w14:paraId="66D73892" w14:textId="5B0E8488" w:rsidR="00585020" w:rsidRDefault="00585020">
      <w:pPr>
        <w:rPr>
          <w:rFonts w:ascii="Times New Roman" w:hAnsi="Times New Roman" w:cs="Times New Roman"/>
          <w:sz w:val="24"/>
          <w:szCs w:val="24"/>
        </w:rPr>
      </w:pPr>
      <w:r>
        <w:rPr>
          <w:noProof/>
        </w:rPr>
        <w:drawing>
          <wp:inline distT="0" distB="0" distL="0" distR="0" wp14:anchorId="0F785A7E" wp14:editId="666B0712">
            <wp:extent cx="4055165" cy="2433099"/>
            <wp:effectExtent l="0" t="0" r="2540" b="5715"/>
            <wp:docPr id="1" name="Chart 1">
              <a:extLst xmlns:a="http://schemas.openxmlformats.org/drawingml/2006/main">
                <a:ext uri="{FF2B5EF4-FFF2-40B4-BE49-F238E27FC236}">
                  <a16:creationId xmlns:a16="http://schemas.microsoft.com/office/drawing/2014/main" id="{2F0719DB-7F94-4DA3-96A5-14A5300669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6FF3EAE" w14:textId="19147AEC" w:rsidR="008E0E8D" w:rsidRDefault="008E0E8D">
      <w:pPr>
        <w:rPr>
          <w:rFonts w:ascii="Times New Roman" w:hAnsi="Times New Roman" w:cs="Times New Roman"/>
          <w:sz w:val="24"/>
          <w:szCs w:val="24"/>
        </w:rPr>
      </w:pPr>
    </w:p>
    <w:p w14:paraId="3D390F78" w14:textId="06FA667A" w:rsidR="00585020" w:rsidRDefault="00031A3F" w:rsidP="00585020">
      <w:pPr>
        <w:rPr>
          <w:rFonts w:ascii="Times New Roman" w:hAnsi="Times New Roman" w:cs="Times New Roman"/>
          <w:sz w:val="24"/>
          <w:szCs w:val="24"/>
        </w:rPr>
      </w:pPr>
      <w:r>
        <w:rPr>
          <w:rFonts w:ascii="Times New Roman" w:hAnsi="Times New Roman" w:cs="Times New Roman"/>
          <w:sz w:val="24"/>
          <w:szCs w:val="24"/>
        </w:rPr>
        <w:br w:type="page"/>
      </w:r>
      <w:r w:rsidR="00585020">
        <w:rPr>
          <w:rFonts w:ascii="Times New Roman" w:hAnsi="Times New Roman" w:cs="Times New Roman"/>
          <w:sz w:val="24"/>
          <w:szCs w:val="24"/>
        </w:rPr>
        <w:lastRenderedPageBreak/>
        <w:t xml:space="preserve">Exhibit </w:t>
      </w:r>
      <w:r>
        <w:rPr>
          <w:rFonts w:ascii="Times New Roman" w:hAnsi="Times New Roman" w:cs="Times New Roman"/>
          <w:sz w:val="24"/>
          <w:szCs w:val="24"/>
        </w:rPr>
        <w:t>3</w:t>
      </w:r>
      <w:r w:rsidR="00585020">
        <w:rPr>
          <w:rFonts w:ascii="Times New Roman" w:hAnsi="Times New Roman" w:cs="Times New Roman"/>
          <w:sz w:val="24"/>
          <w:szCs w:val="24"/>
        </w:rPr>
        <w:t>: Months Remaining Inventory for Atlanta CBSA</w:t>
      </w:r>
    </w:p>
    <w:p w14:paraId="0506783D" w14:textId="5A2A9215" w:rsidR="000674D7" w:rsidRDefault="00585020">
      <w:pPr>
        <w:rPr>
          <w:rFonts w:ascii="Times New Roman" w:hAnsi="Times New Roman" w:cs="Times New Roman"/>
          <w:sz w:val="24"/>
          <w:szCs w:val="24"/>
        </w:rPr>
      </w:pPr>
      <w:r>
        <w:rPr>
          <w:noProof/>
        </w:rPr>
        <w:drawing>
          <wp:inline distT="0" distB="0" distL="0" distR="0" wp14:anchorId="07C01689" wp14:editId="380A0D0A">
            <wp:extent cx="4182386" cy="3331955"/>
            <wp:effectExtent l="0" t="0" r="8890" b="1905"/>
            <wp:docPr id="2" name="Chart 2">
              <a:extLst xmlns:a="http://schemas.openxmlformats.org/drawingml/2006/main">
                <a:ext uri="{FF2B5EF4-FFF2-40B4-BE49-F238E27FC236}">
                  <a16:creationId xmlns:a16="http://schemas.microsoft.com/office/drawing/2014/main" id="{5CC0191A-E16F-4624-96C4-7C2F934B79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951CDBE" w14:textId="5E22F6D2" w:rsidR="00585020" w:rsidRDefault="00585020">
      <w:pPr>
        <w:rPr>
          <w:rFonts w:ascii="Times New Roman" w:hAnsi="Times New Roman" w:cs="Times New Roman"/>
          <w:sz w:val="24"/>
          <w:szCs w:val="24"/>
        </w:rPr>
      </w:pPr>
    </w:p>
    <w:p w14:paraId="724EBA67" w14:textId="03C60CB6" w:rsidR="00585020" w:rsidRDefault="00585020" w:rsidP="00585020">
      <w:pPr>
        <w:rPr>
          <w:rFonts w:ascii="Times New Roman" w:hAnsi="Times New Roman" w:cs="Times New Roman"/>
          <w:sz w:val="24"/>
          <w:szCs w:val="24"/>
        </w:rPr>
      </w:pPr>
      <w:r>
        <w:rPr>
          <w:rFonts w:ascii="Times New Roman" w:hAnsi="Times New Roman" w:cs="Times New Roman"/>
          <w:sz w:val="24"/>
          <w:szCs w:val="24"/>
        </w:rPr>
        <w:t xml:space="preserve">Exhibit </w:t>
      </w:r>
      <w:r w:rsidR="00031A3F">
        <w:rPr>
          <w:rFonts w:ascii="Times New Roman" w:hAnsi="Times New Roman" w:cs="Times New Roman"/>
          <w:sz w:val="24"/>
          <w:szCs w:val="24"/>
        </w:rPr>
        <w:t>4</w:t>
      </w:r>
      <w:r>
        <w:rPr>
          <w:rFonts w:ascii="Times New Roman" w:hAnsi="Times New Roman" w:cs="Times New Roman"/>
          <w:sz w:val="24"/>
          <w:szCs w:val="24"/>
        </w:rPr>
        <w:t>: Months Remaining Inventory for San Diego CBSA</w:t>
      </w:r>
    </w:p>
    <w:p w14:paraId="47D15421" w14:textId="124BF2E1" w:rsidR="00585020" w:rsidRDefault="00585020">
      <w:pPr>
        <w:rPr>
          <w:rFonts w:ascii="Times New Roman" w:hAnsi="Times New Roman" w:cs="Times New Roman"/>
          <w:sz w:val="24"/>
          <w:szCs w:val="24"/>
        </w:rPr>
      </w:pPr>
      <w:r>
        <w:rPr>
          <w:noProof/>
        </w:rPr>
        <w:drawing>
          <wp:inline distT="0" distB="0" distL="0" distR="0" wp14:anchorId="43FE28C3" wp14:editId="66BD1746">
            <wp:extent cx="4206240" cy="3449706"/>
            <wp:effectExtent l="0" t="0" r="3810" b="17780"/>
            <wp:docPr id="3" name="Chart 3">
              <a:extLst xmlns:a="http://schemas.openxmlformats.org/drawingml/2006/main">
                <a:ext uri="{FF2B5EF4-FFF2-40B4-BE49-F238E27FC236}">
                  <a16:creationId xmlns:a16="http://schemas.microsoft.com/office/drawing/2014/main" id="{DF45658E-114D-430F-B28A-39B142488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6B168ED" w14:textId="5F12EEA3" w:rsidR="00A0590A" w:rsidRDefault="00A0590A">
      <w:pPr>
        <w:rPr>
          <w:rFonts w:ascii="Times New Roman" w:hAnsi="Times New Roman" w:cs="Times New Roman"/>
          <w:sz w:val="24"/>
          <w:szCs w:val="24"/>
        </w:rPr>
      </w:pPr>
    </w:p>
    <w:p w14:paraId="77D73B3E" w14:textId="18FE0687" w:rsidR="00610EC8" w:rsidRDefault="00031A3F" w:rsidP="00031A3F">
      <w:pPr>
        <w:rPr>
          <w:rFonts w:ascii="Times New Roman" w:hAnsi="Times New Roman" w:cs="Times New Roman"/>
          <w:sz w:val="24"/>
          <w:szCs w:val="24"/>
        </w:rPr>
      </w:pPr>
      <w:r>
        <w:rPr>
          <w:rFonts w:ascii="Times New Roman" w:hAnsi="Times New Roman" w:cs="Times New Roman"/>
          <w:sz w:val="24"/>
          <w:szCs w:val="24"/>
        </w:rPr>
        <w:lastRenderedPageBreak/>
        <w:t xml:space="preserve">V </w:t>
      </w:r>
      <w:r w:rsidR="00610EC8">
        <w:rPr>
          <w:rFonts w:ascii="Times New Roman" w:hAnsi="Times New Roman" w:cs="Times New Roman"/>
          <w:sz w:val="24"/>
          <w:szCs w:val="24"/>
        </w:rPr>
        <w:t>Hypotheses</w:t>
      </w:r>
    </w:p>
    <w:p w14:paraId="3684EC46" w14:textId="120C96DF" w:rsidR="008E0E8D" w:rsidRDefault="008E0E8D" w:rsidP="00031A3F">
      <w:pPr>
        <w:rPr>
          <w:rFonts w:ascii="Times New Roman" w:hAnsi="Times New Roman" w:cs="Times New Roman"/>
          <w:sz w:val="24"/>
          <w:szCs w:val="24"/>
        </w:rPr>
      </w:pPr>
      <w:r>
        <w:rPr>
          <w:rFonts w:ascii="Times New Roman" w:hAnsi="Times New Roman" w:cs="Times New Roman"/>
          <w:sz w:val="24"/>
          <w:szCs w:val="24"/>
        </w:rPr>
        <w:t>In the following sections we conduct an empirical analysis of the time on the market. The liter</w:t>
      </w:r>
      <w:r w:rsidR="00A0590A">
        <w:rPr>
          <w:rFonts w:ascii="Times New Roman" w:hAnsi="Times New Roman" w:cs="Times New Roman"/>
          <w:sz w:val="24"/>
          <w:szCs w:val="24"/>
        </w:rPr>
        <w:t>at</w:t>
      </w:r>
      <w:r>
        <w:rPr>
          <w:rFonts w:ascii="Times New Roman" w:hAnsi="Times New Roman" w:cs="Times New Roman"/>
          <w:sz w:val="24"/>
          <w:szCs w:val="24"/>
        </w:rPr>
        <w:t>ure discussed above suggest</w:t>
      </w:r>
      <w:r w:rsidR="00A0590A">
        <w:rPr>
          <w:rFonts w:ascii="Times New Roman" w:hAnsi="Times New Roman" w:cs="Times New Roman"/>
          <w:sz w:val="24"/>
          <w:szCs w:val="24"/>
        </w:rPr>
        <w:t xml:space="preserve"> </w:t>
      </w:r>
      <w:r>
        <w:rPr>
          <w:rFonts w:ascii="Times New Roman" w:hAnsi="Times New Roman" w:cs="Times New Roman"/>
          <w:sz w:val="24"/>
          <w:szCs w:val="24"/>
        </w:rPr>
        <w:t>a series of testable hypothesis.</w:t>
      </w:r>
    </w:p>
    <w:p w14:paraId="3BCF8ADB" w14:textId="54ECD4C5" w:rsidR="008E0E8D" w:rsidRDefault="00D602D8" w:rsidP="008E0E8D">
      <w:pPr>
        <w:pStyle w:val="ListParagraph"/>
        <w:numPr>
          <w:ilvl w:val="0"/>
          <w:numId w:val="4"/>
        </w:numPr>
        <w:rPr>
          <w:rFonts w:ascii="Times New Roman" w:hAnsi="Times New Roman" w:cs="Times New Roman"/>
          <w:sz w:val="24"/>
          <w:szCs w:val="24"/>
        </w:rPr>
      </w:pPr>
      <w:r w:rsidRPr="00631405">
        <w:rPr>
          <w:rFonts w:ascii="Times New Roman" w:hAnsi="Times New Roman" w:cs="Times New Roman"/>
          <w:sz w:val="24"/>
          <w:szCs w:val="24"/>
        </w:rPr>
        <w:t>Days on market will be lower in stronger markets</w:t>
      </w:r>
      <w:r w:rsidR="00A0590A">
        <w:rPr>
          <w:rFonts w:ascii="Times New Roman" w:hAnsi="Times New Roman" w:cs="Times New Roman"/>
          <w:sz w:val="24"/>
          <w:szCs w:val="24"/>
        </w:rPr>
        <w:t>, defined by lower months remaining inventory or market condition indices.</w:t>
      </w:r>
    </w:p>
    <w:p w14:paraId="6C9B4A15" w14:textId="09CA631F" w:rsidR="008E0E8D" w:rsidRDefault="008E0E8D" w:rsidP="008E0E8D">
      <w:pPr>
        <w:pStyle w:val="ListParagraph"/>
        <w:numPr>
          <w:ilvl w:val="0"/>
          <w:numId w:val="4"/>
        </w:numPr>
        <w:rPr>
          <w:rFonts w:ascii="Times New Roman" w:hAnsi="Times New Roman" w:cs="Times New Roman"/>
          <w:sz w:val="24"/>
          <w:szCs w:val="24"/>
        </w:rPr>
      </w:pPr>
      <w:r w:rsidRPr="008E0E8D">
        <w:rPr>
          <w:rFonts w:ascii="Times New Roman" w:hAnsi="Times New Roman" w:cs="Times New Roman"/>
          <w:sz w:val="24"/>
          <w:szCs w:val="24"/>
        </w:rPr>
        <w:t>There will be a seasonal pattern to the days on the market.</w:t>
      </w:r>
      <w:r w:rsidRPr="008E0E8D" w:rsidDel="008E0E8D">
        <w:rPr>
          <w:rFonts w:ascii="Times New Roman" w:hAnsi="Times New Roman" w:cs="Times New Roman"/>
          <w:sz w:val="24"/>
          <w:szCs w:val="24"/>
        </w:rPr>
        <w:t xml:space="preserve"> </w:t>
      </w:r>
    </w:p>
    <w:p w14:paraId="344945FF" w14:textId="1CD2A355" w:rsidR="008E0E8D" w:rsidRDefault="0097751F" w:rsidP="008E0E8D">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 xml:space="preserve">Days on market will be generally higher in </w:t>
      </w:r>
      <w:r w:rsidR="00A0590A">
        <w:rPr>
          <w:rFonts w:ascii="Times New Roman" w:hAnsi="Times New Roman" w:cs="Times New Roman"/>
          <w:sz w:val="24"/>
          <w:szCs w:val="24"/>
        </w:rPr>
        <w:t xml:space="preserve">relatively </w:t>
      </w:r>
      <w:r>
        <w:rPr>
          <w:rFonts w:ascii="Times New Roman" w:hAnsi="Times New Roman" w:cs="Times New Roman"/>
          <w:sz w:val="24"/>
          <w:szCs w:val="24"/>
        </w:rPr>
        <w:t>higher priced segments of markets</w:t>
      </w:r>
      <w:r w:rsidR="00A0590A">
        <w:rPr>
          <w:rFonts w:ascii="Times New Roman" w:hAnsi="Times New Roman" w:cs="Times New Roman"/>
          <w:sz w:val="24"/>
          <w:szCs w:val="24"/>
        </w:rPr>
        <w:t>, within the same geographic market.</w:t>
      </w:r>
    </w:p>
    <w:p w14:paraId="3372B457" w14:textId="410F1B92" w:rsidR="0097751F" w:rsidRDefault="0097751F" w:rsidP="008E0E8D">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When asking prices are close to market values the days on market should be shorter.</w:t>
      </w:r>
    </w:p>
    <w:p w14:paraId="3E7199E1" w14:textId="24CE3B30" w:rsidR="0097751F" w:rsidRPr="008E0E8D" w:rsidRDefault="0097751F" w:rsidP="008E0E8D">
      <w:pPr>
        <w:pStyle w:val="ListParagraph"/>
        <w:numPr>
          <w:ilvl w:val="0"/>
          <w:numId w:val="4"/>
        </w:numPr>
        <w:rPr>
          <w:rFonts w:ascii="Times New Roman" w:hAnsi="Times New Roman" w:cs="Times New Roman"/>
          <w:sz w:val="24"/>
          <w:szCs w:val="24"/>
        </w:rPr>
      </w:pPr>
      <w:r w:rsidRPr="0097751F">
        <w:rPr>
          <w:rFonts w:ascii="Times New Roman" w:hAnsi="Times New Roman" w:cs="Times New Roman"/>
          <w:sz w:val="24"/>
          <w:szCs w:val="24"/>
        </w:rPr>
        <w:t>In active markets, properly priced property should sell on average in less than 60 days.</w:t>
      </w:r>
    </w:p>
    <w:p w14:paraId="6E0A1D59" w14:textId="0BFF322F" w:rsidR="00031A3F" w:rsidRDefault="00610EC8" w:rsidP="00031A3F">
      <w:pPr>
        <w:rPr>
          <w:rFonts w:ascii="Times New Roman" w:hAnsi="Times New Roman" w:cs="Times New Roman"/>
          <w:sz w:val="24"/>
          <w:szCs w:val="24"/>
        </w:rPr>
      </w:pPr>
      <w:r>
        <w:rPr>
          <w:rFonts w:ascii="Times New Roman" w:hAnsi="Times New Roman" w:cs="Times New Roman"/>
          <w:sz w:val="24"/>
          <w:szCs w:val="24"/>
        </w:rPr>
        <w:t xml:space="preserve">VI Data and </w:t>
      </w:r>
      <w:r w:rsidR="00031A3F">
        <w:rPr>
          <w:rFonts w:ascii="Times New Roman" w:hAnsi="Times New Roman" w:cs="Times New Roman"/>
          <w:sz w:val="24"/>
          <w:szCs w:val="24"/>
        </w:rPr>
        <w:t>Empirical Analysis</w:t>
      </w:r>
    </w:p>
    <w:p w14:paraId="5834F9DB" w14:textId="0DE2C42F" w:rsidR="00610EC8" w:rsidRDefault="00610EC8" w:rsidP="00031A3F">
      <w:pPr>
        <w:rPr>
          <w:rFonts w:ascii="Times New Roman" w:hAnsi="Times New Roman" w:cs="Times New Roman"/>
          <w:sz w:val="24"/>
          <w:szCs w:val="24"/>
        </w:rPr>
      </w:pPr>
      <w:r>
        <w:rPr>
          <w:rFonts w:ascii="Times New Roman" w:hAnsi="Times New Roman" w:cs="Times New Roman"/>
          <w:sz w:val="24"/>
          <w:szCs w:val="24"/>
        </w:rPr>
        <w:t>Data comes from Collateral Analytics and covers the period from 2005 through the first quarter of 2019 or 57 quarters. This is panel</w:t>
      </w:r>
      <w:r w:rsidR="00A0590A">
        <w:rPr>
          <w:rFonts w:ascii="Times New Roman" w:hAnsi="Times New Roman" w:cs="Times New Roman"/>
          <w:sz w:val="24"/>
          <w:szCs w:val="24"/>
        </w:rPr>
        <w:t xml:space="preserve"> data that </w:t>
      </w:r>
      <w:r>
        <w:rPr>
          <w:rFonts w:ascii="Times New Roman" w:hAnsi="Times New Roman" w:cs="Times New Roman"/>
          <w:sz w:val="24"/>
          <w:szCs w:val="24"/>
        </w:rPr>
        <w:t>includes 189 major US CBSAs</w:t>
      </w:r>
      <w:r w:rsidR="0097751F">
        <w:rPr>
          <w:rFonts w:ascii="Times New Roman" w:hAnsi="Times New Roman" w:cs="Times New Roman"/>
          <w:sz w:val="24"/>
          <w:szCs w:val="24"/>
        </w:rPr>
        <w:t xml:space="preserve"> and </w:t>
      </w:r>
      <w:r w:rsidR="00A0590A">
        <w:rPr>
          <w:rFonts w:ascii="Times New Roman" w:hAnsi="Times New Roman" w:cs="Times New Roman"/>
          <w:sz w:val="24"/>
          <w:szCs w:val="24"/>
        </w:rPr>
        <w:t xml:space="preserve">nearly 27 million </w:t>
      </w:r>
      <w:r w:rsidR="0097751F">
        <w:rPr>
          <w:rFonts w:ascii="Times New Roman" w:hAnsi="Times New Roman" w:cs="Times New Roman"/>
          <w:sz w:val="24"/>
          <w:szCs w:val="24"/>
        </w:rPr>
        <w:t>residential single</w:t>
      </w:r>
      <w:r w:rsidR="00A0590A">
        <w:rPr>
          <w:rFonts w:ascii="Times New Roman" w:hAnsi="Times New Roman" w:cs="Times New Roman"/>
          <w:sz w:val="24"/>
          <w:szCs w:val="24"/>
        </w:rPr>
        <w:t>-</w:t>
      </w:r>
      <w:r w:rsidR="0097751F">
        <w:rPr>
          <w:rFonts w:ascii="Times New Roman" w:hAnsi="Times New Roman" w:cs="Times New Roman"/>
          <w:sz w:val="24"/>
          <w:szCs w:val="24"/>
        </w:rPr>
        <w:t>family listings. The data are aggregated for each CBSA quarterly. T</w:t>
      </w:r>
      <w:r>
        <w:rPr>
          <w:rFonts w:ascii="Times New Roman" w:hAnsi="Times New Roman" w:cs="Times New Roman"/>
          <w:sz w:val="24"/>
          <w:szCs w:val="24"/>
        </w:rPr>
        <w:t>he following variables are available:</w:t>
      </w:r>
    </w:p>
    <w:tbl>
      <w:tblPr>
        <w:tblStyle w:val="TableGrid"/>
        <w:tblW w:w="0" w:type="auto"/>
        <w:tblLook w:val="04A0" w:firstRow="1" w:lastRow="0" w:firstColumn="1" w:lastColumn="0" w:noHBand="0" w:noVBand="1"/>
      </w:tblPr>
      <w:tblGrid>
        <w:gridCol w:w="2335"/>
        <w:gridCol w:w="4675"/>
      </w:tblGrid>
      <w:tr w:rsidR="00BB29F3" w14:paraId="6244F79E" w14:textId="77777777" w:rsidTr="00631405">
        <w:tc>
          <w:tcPr>
            <w:tcW w:w="2335" w:type="dxa"/>
            <w:shd w:val="clear" w:color="auto" w:fill="auto"/>
          </w:tcPr>
          <w:p w14:paraId="6CD66678" w14:textId="03CB20A0" w:rsidR="00BB29F3" w:rsidRDefault="00BB29F3" w:rsidP="00631405">
            <w:pPr>
              <w:jc w:val="center"/>
              <w:rPr>
                <w:rFonts w:ascii="Times New Roman" w:hAnsi="Times New Roman" w:cs="Times New Roman"/>
                <w:sz w:val="24"/>
                <w:szCs w:val="24"/>
              </w:rPr>
            </w:pPr>
            <w:r>
              <w:rPr>
                <w:rFonts w:ascii="Times New Roman" w:hAnsi="Times New Roman" w:cs="Times New Roman"/>
                <w:sz w:val="24"/>
                <w:szCs w:val="24"/>
              </w:rPr>
              <w:t>Variable Name</w:t>
            </w:r>
          </w:p>
        </w:tc>
        <w:tc>
          <w:tcPr>
            <w:tcW w:w="4675" w:type="dxa"/>
            <w:shd w:val="clear" w:color="auto" w:fill="auto"/>
          </w:tcPr>
          <w:p w14:paraId="7825EEBE" w14:textId="51473BE9" w:rsidR="00BB29F3" w:rsidRDefault="00BB29F3" w:rsidP="00631405">
            <w:pPr>
              <w:jc w:val="center"/>
              <w:rPr>
                <w:rFonts w:ascii="Times New Roman" w:hAnsi="Times New Roman" w:cs="Times New Roman"/>
                <w:sz w:val="24"/>
                <w:szCs w:val="24"/>
              </w:rPr>
            </w:pPr>
            <w:r>
              <w:rPr>
                <w:rFonts w:ascii="Times New Roman" w:hAnsi="Times New Roman" w:cs="Times New Roman"/>
                <w:sz w:val="24"/>
                <w:szCs w:val="24"/>
              </w:rPr>
              <w:t>Definition</w:t>
            </w:r>
          </w:p>
        </w:tc>
      </w:tr>
      <w:tr w:rsidR="00BB29F3" w14:paraId="60E2B855" w14:textId="77777777" w:rsidTr="00631405">
        <w:tc>
          <w:tcPr>
            <w:tcW w:w="2335" w:type="dxa"/>
            <w:shd w:val="clear" w:color="auto" w:fill="auto"/>
          </w:tcPr>
          <w:p w14:paraId="0ADC4756" w14:textId="1C3C3FE3"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CBSA</w:t>
            </w:r>
          </w:p>
        </w:tc>
        <w:tc>
          <w:tcPr>
            <w:tcW w:w="4675" w:type="dxa"/>
            <w:shd w:val="clear" w:color="auto" w:fill="auto"/>
          </w:tcPr>
          <w:p w14:paraId="3FA9670A" w14:textId="2E41D22A" w:rsidR="00BB29F3" w:rsidRDefault="00A0590A" w:rsidP="00111D7D">
            <w:pPr>
              <w:rPr>
                <w:rFonts w:ascii="Times New Roman" w:hAnsi="Times New Roman" w:cs="Times New Roman"/>
                <w:sz w:val="24"/>
                <w:szCs w:val="24"/>
              </w:rPr>
            </w:pPr>
            <w:r>
              <w:rPr>
                <w:rFonts w:ascii="Times New Roman" w:hAnsi="Times New Roman" w:cs="Times New Roman"/>
                <w:sz w:val="24"/>
                <w:szCs w:val="24"/>
              </w:rPr>
              <w:t>Census bureau defined “core-based statistical areas” tied by socio-economic and commuting patterns and including at least 10,000 people.</w:t>
            </w:r>
          </w:p>
        </w:tc>
      </w:tr>
      <w:tr w:rsidR="00BB29F3" w14:paraId="6989D930" w14:textId="77777777" w:rsidTr="00631405">
        <w:tc>
          <w:tcPr>
            <w:tcW w:w="2335" w:type="dxa"/>
            <w:shd w:val="clear" w:color="auto" w:fill="auto"/>
          </w:tcPr>
          <w:p w14:paraId="74C67C94" w14:textId="4E6BA894"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Seasonality</w:t>
            </w:r>
          </w:p>
        </w:tc>
        <w:tc>
          <w:tcPr>
            <w:tcW w:w="4675" w:type="dxa"/>
            <w:shd w:val="clear" w:color="auto" w:fill="auto"/>
          </w:tcPr>
          <w:p w14:paraId="7DA62296" w14:textId="7B859F2A" w:rsidR="00BB29F3" w:rsidRDefault="00A0590A" w:rsidP="00111D7D">
            <w:pPr>
              <w:rPr>
                <w:rFonts w:ascii="Times New Roman" w:hAnsi="Times New Roman" w:cs="Times New Roman"/>
                <w:sz w:val="24"/>
                <w:szCs w:val="24"/>
              </w:rPr>
            </w:pPr>
            <w:r>
              <w:rPr>
                <w:rFonts w:ascii="Times New Roman" w:hAnsi="Times New Roman" w:cs="Times New Roman"/>
                <w:sz w:val="24"/>
                <w:szCs w:val="24"/>
              </w:rPr>
              <w:t>Quarterly dummy variables.</w:t>
            </w:r>
          </w:p>
        </w:tc>
      </w:tr>
      <w:tr w:rsidR="00BB29F3" w14:paraId="6EE8A921" w14:textId="77777777" w:rsidTr="00631405">
        <w:tc>
          <w:tcPr>
            <w:tcW w:w="2335" w:type="dxa"/>
            <w:shd w:val="clear" w:color="auto" w:fill="auto"/>
          </w:tcPr>
          <w:p w14:paraId="685DFAA6" w14:textId="132F09B0"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Number of Sales</w:t>
            </w:r>
          </w:p>
        </w:tc>
        <w:tc>
          <w:tcPr>
            <w:tcW w:w="4675" w:type="dxa"/>
            <w:shd w:val="clear" w:color="auto" w:fill="auto"/>
          </w:tcPr>
          <w:p w14:paraId="7865A7F0" w14:textId="198695A3" w:rsidR="00BB29F3" w:rsidRDefault="00BB29F3" w:rsidP="00111D7D">
            <w:pPr>
              <w:rPr>
                <w:rFonts w:ascii="Times New Roman" w:hAnsi="Times New Roman" w:cs="Times New Roman"/>
                <w:sz w:val="24"/>
                <w:szCs w:val="24"/>
              </w:rPr>
            </w:pPr>
            <w:r>
              <w:rPr>
                <w:rFonts w:ascii="Times New Roman" w:hAnsi="Times New Roman" w:cs="Times New Roman"/>
                <w:sz w:val="24"/>
                <w:szCs w:val="24"/>
              </w:rPr>
              <w:t xml:space="preserve">The number of sales in the quarter. </w:t>
            </w:r>
          </w:p>
        </w:tc>
      </w:tr>
      <w:tr w:rsidR="00BB29F3" w14:paraId="5F2003A3" w14:textId="77777777" w:rsidTr="00631405">
        <w:tc>
          <w:tcPr>
            <w:tcW w:w="2335" w:type="dxa"/>
            <w:shd w:val="clear" w:color="auto" w:fill="auto"/>
          </w:tcPr>
          <w:p w14:paraId="6EAD5C6F" w14:textId="0E936933"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Active Listings</w:t>
            </w:r>
          </w:p>
        </w:tc>
        <w:tc>
          <w:tcPr>
            <w:tcW w:w="4675" w:type="dxa"/>
            <w:shd w:val="clear" w:color="auto" w:fill="auto"/>
          </w:tcPr>
          <w:p w14:paraId="0BBFFB80" w14:textId="6C3AC5CD" w:rsidR="00BB29F3" w:rsidRDefault="00BB29F3" w:rsidP="00111D7D">
            <w:pPr>
              <w:rPr>
                <w:rFonts w:ascii="Times New Roman" w:hAnsi="Times New Roman" w:cs="Times New Roman"/>
                <w:sz w:val="24"/>
                <w:szCs w:val="24"/>
              </w:rPr>
            </w:pPr>
            <w:r>
              <w:rPr>
                <w:rFonts w:ascii="Times New Roman" w:hAnsi="Times New Roman" w:cs="Times New Roman"/>
                <w:sz w:val="24"/>
                <w:szCs w:val="24"/>
              </w:rPr>
              <w:t xml:space="preserve">The number of active listing in the quarter. </w:t>
            </w:r>
          </w:p>
        </w:tc>
      </w:tr>
      <w:tr w:rsidR="00BB29F3" w14:paraId="2A0F1C64" w14:textId="77777777" w:rsidTr="00631405">
        <w:tc>
          <w:tcPr>
            <w:tcW w:w="2335" w:type="dxa"/>
            <w:shd w:val="clear" w:color="auto" w:fill="auto"/>
          </w:tcPr>
          <w:p w14:paraId="6A386F83" w14:textId="48378F36"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 xml:space="preserve">Date </w:t>
            </w:r>
            <w:proofErr w:type="spellStart"/>
            <w:r w:rsidRPr="007E3430">
              <w:rPr>
                <w:rFonts w:ascii="Times New Roman" w:eastAsiaTheme="minorEastAsia" w:hAnsi="Times New Roman" w:cs="Times New Roman"/>
                <w:sz w:val="24"/>
                <w:szCs w:val="24"/>
                <w:lang w:eastAsia="ko-KR"/>
              </w:rPr>
              <w:t>Idx</w:t>
            </w:r>
            <w:proofErr w:type="spellEnd"/>
          </w:p>
        </w:tc>
        <w:tc>
          <w:tcPr>
            <w:tcW w:w="4675" w:type="dxa"/>
            <w:shd w:val="clear" w:color="auto" w:fill="auto"/>
          </w:tcPr>
          <w:p w14:paraId="121AD2A1" w14:textId="6A986E2A" w:rsidR="00BB29F3" w:rsidRDefault="00111D7D" w:rsidP="00111D7D">
            <w:pPr>
              <w:rPr>
                <w:rFonts w:ascii="Times New Roman" w:hAnsi="Times New Roman" w:cs="Times New Roman"/>
                <w:sz w:val="24"/>
                <w:szCs w:val="24"/>
              </w:rPr>
            </w:pPr>
            <w:r>
              <w:rPr>
                <w:rFonts w:ascii="Times New Roman" w:hAnsi="Times New Roman" w:cs="Times New Roman"/>
                <w:sz w:val="24"/>
                <w:szCs w:val="24"/>
              </w:rPr>
              <w:t>Quarterly dummy variables.</w:t>
            </w:r>
          </w:p>
        </w:tc>
      </w:tr>
      <w:tr w:rsidR="00BB29F3" w14:paraId="7934352A" w14:textId="77777777" w:rsidTr="00631405">
        <w:tc>
          <w:tcPr>
            <w:tcW w:w="2335" w:type="dxa"/>
            <w:shd w:val="clear" w:color="auto" w:fill="auto"/>
          </w:tcPr>
          <w:p w14:paraId="20C1011F" w14:textId="167DE19D"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Foreclosure</w:t>
            </w:r>
          </w:p>
        </w:tc>
        <w:tc>
          <w:tcPr>
            <w:tcW w:w="4675" w:type="dxa"/>
            <w:shd w:val="clear" w:color="auto" w:fill="auto"/>
          </w:tcPr>
          <w:p w14:paraId="2754BF1B" w14:textId="7F7B7F60" w:rsidR="00BB29F3" w:rsidRDefault="00BB29F3" w:rsidP="00111D7D">
            <w:pPr>
              <w:rPr>
                <w:rFonts w:ascii="Times New Roman" w:hAnsi="Times New Roman" w:cs="Times New Roman"/>
                <w:sz w:val="24"/>
                <w:szCs w:val="24"/>
              </w:rPr>
            </w:pPr>
            <w:r w:rsidRPr="00631405">
              <w:rPr>
                <w:rFonts w:ascii="Times New Roman" w:hAnsi="Times New Roman" w:cs="Times New Roman"/>
                <w:sz w:val="24"/>
                <w:szCs w:val="24"/>
              </w:rPr>
              <w:t>Foreclosure sales as percentage of total sales</w:t>
            </w:r>
            <w:r w:rsidR="00111D7D">
              <w:rPr>
                <w:rFonts w:ascii="Times New Roman" w:hAnsi="Times New Roman" w:cs="Times New Roman"/>
                <w:sz w:val="24"/>
                <w:szCs w:val="24"/>
              </w:rPr>
              <w:t>, also tested with a dummy for foreclosures above 5% of sales or not</w:t>
            </w:r>
            <w:r>
              <w:rPr>
                <w:rFonts w:ascii="Times New Roman" w:hAnsi="Times New Roman" w:cs="Times New Roman"/>
                <w:sz w:val="24"/>
                <w:szCs w:val="24"/>
              </w:rPr>
              <w:t>.</w:t>
            </w:r>
          </w:p>
        </w:tc>
      </w:tr>
      <w:tr w:rsidR="00BB29F3" w14:paraId="5C4AA1DD" w14:textId="77777777" w:rsidTr="00631405">
        <w:tc>
          <w:tcPr>
            <w:tcW w:w="2335" w:type="dxa"/>
            <w:shd w:val="clear" w:color="auto" w:fill="auto"/>
          </w:tcPr>
          <w:p w14:paraId="62E87B99" w14:textId="7644F316" w:rsidR="00BB29F3" w:rsidRDefault="00BB29F3" w:rsidP="00631405">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Price Tiers</w:t>
            </w:r>
          </w:p>
        </w:tc>
        <w:tc>
          <w:tcPr>
            <w:tcW w:w="4675" w:type="dxa"/>
            <w:shd w:val="clear" w:color="auto" w:fill="auto"/>
          </w:tcPr>
          <w:p w14:paraId="0BDA99CA" w14:textId="1F3A32F2" w:rsidR="00BB29F3" w:rsidRDefault="00111D7D" w:rsidP="00111D7D">
            <w:pPr>
              <w:rPr>
                <w:rFonts w:ascii="Times New Roman" w:hAnsi="Times New Roman" w:cs="Times New Roman"/>
                <w:sz w:val="24"/>
                <w:szCs w:val="24"/>
              </w:rPr>
            </w:pPr>
            <w:r>
              <w:rPr>
                <w:rFonts w:ascii="Times New Roman" w:hAnsi="Times New Roman" w:cs="Times New Roman"/>
                <w:sz w:val="24"/>
                <w:szCs w:val="24"/>
              </w:rPr>
              <w:t>Low, medium and high price tiers with 60% as medium and 20% as high or low.</w:t>
            </w:r>
          </w:p>
        </w:tc>
      </w:tr>
      <w:tr w:rsidR="00BB29F3" w14:paraId="23DC2475" w14:textId="77777777" w:rsidTr="00BB29F3">
        <w:tc>
          <w:tcPr>
            <w:tcW w:w="2335" w:type="dxa"/>
          </w:tcPr>
          <w:p w14:paraId="48BDAC0F" w14:textId="4E2E95E4" w:rsidR="00BB29F3" w:rsidRDefault="00BB29F3" w:rsidP="00BB29F3">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MRI</w:t>
            </w:r>
          </w:p>
        </w:tc>
        <w:tc>
          <w:tcPr>
            <w:tcW w:w="4675" w:type="dxa"/>
          </w:tcPr>
          <w:p w14:paraId="2F7E85B4" w14:textId="51DC2AE0" w:rsidR="00BB29F3" w:rsidRDefault="00BB29F3" w:rsidP="00111D7D">
            <w:pPr>
              <w:rPr>
                <w:rFonts w:ascii="Times New Roman" w:hAnsi="Times New Roman" w:cs="Times New Roman"/>
                <w:sz w:val="24"/>
                <w:szCs w:val="24"/>
              </w:rPr>
            </w:pPr>
            <w:r>
              <w:rPr>
                <w:rFonts w:ascii="Times New Roman" w:hAnsi="Times New Roman" w:cs="Times New Roman"/>
                <w:sz w:val="24"/>
                <w:szCs w:val="24"/>
              </w:rPr>
              <w:t>The average months remining inventory</w:t>
            </w:r>
            <w:r w:rsidR="002B4001">
              <w:rPr>
                <w:rFonts w:ascii="Times New Roman" w:hAnsi="Times New Roman" w:cs="Times New Roman"/>
                <w:sz w:val="24"/>
                <w:szCs w:val="24"/>
              </w:rPr>
              <w:t xml:space="preserve"> (MRI)</w:t>
            </w:r>
            <w:r>
              <w:rPr>
                <w:rFonts w:ascii="Times New Roman" w:hAnsi="Times New Roman" w:cs="Times New Roman"/>
                <w:sz w:val="24"/>
                <w:szCs w:val="24"/>
              </w:rPr>
              <w:t xml:space="preserve"> over the quarter</w:t>
            </w:r>
            <w:r w:rsidR="00111D7D">
              <w:rPr>
                <w:rFonts w:ascii="Times New Roman" w:hAnsi="Times New Roman" w:cs="Times New Roman"/>
                <w:sz w:val="24"/>
                <w:szCs w:val="24"/>
              </w:rPr>
              <w:t xml:space="preserve"> based on the prior years sales</w:t>
            </w:r>
            <w:r>
              <w:rPr>
                <w:rFonts w:ascii="Times New Roman" w:hAnsi="Times New Roman" w:cs="Times New Roman"/>
                <w:sz w:val="24"/>
                <w:szCs w:val="24"/>
              </w:rPr>
              <w:t xml:space="preserve">.  </w:t>
            </w:r>
          </w:p>
        </w:tc>
      </w:tr>
      <w:tr w:rsidR="00BB29F3" w14:paraId="304DF95D" w14:textId="77777777" w:rsidTr="00631405">
        <w:trPr>
          <w:trHeight w:val="242"/>
        </w:trPr>
        <w:tc>
          <w:tcPr>
            <w:tcW w:w="2335" w:type="dxa"/>
          </w:tcPr>
          <w:p w14:paraId="4F6F5CB8" w14:textId="6C393241" w:rsidR="00BB29F3" w:rsidRDefault="00BB29F3" w:rsidP="00BB29F3">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Sold Price Living</w:t>
            </w:r>
          </w:p>
        </w:tc>
        <w:tc>
          <w:tcPr>
            <w:tcW w:w="4675" w:type="dxa"/>
          </w:tcPr>
          <w:p w14:paraId="7E44CBDE" w14:textId="6697D473" w:rsidR="00BB29F3" w:rsidRDefault="002B4001" w:rsidP="00111D7D">
            <w:pPr>
              <w:rPr>
                <w:rFonts w:ascii="Times New Roman" w:hAnsi="Times New Roman" w:cs="Times New Roman"/>
                <w:sz w:val="24"/>
                <w:szCs w:val="24"/>
              </w:rPr>
            </w:pPr>
            <w:r w:rsidRPr="00631405">
              <w:rPr>
                <w:rFonts w:ascii="Times New Roman" w:hAnsi="Times New Roman" w:cs="Times New Roman"/>
                <w:sz w:val="24"/>
                <w:szCs w:val="24"/>
              </w:rPr>
              <w:t>Median Sold Price/Per Square Foot of Living Area</w:t>
            </w:r>
            <w:r>
              <w:rPr>
                <w:rFonts w:ascii="Times New Roman" w:hAnsi="Times New Roman" w:cs="Times New Roman"/>
                <w:sz w:val="24"/>
                <w:szCs w:val="24"/>
              </w:rPr>
              <w:t xml:space="preserve"> for </w:t>
            </w:r>
            <w:r w:rsidR="00111D7D">
              <w:rPr>
                <w:rFonts w:ascii="Times New Roman" w:hAnsi="Times New Roman" w:cs="Times New Roman"/>
                <w:sz w:val="24"/>
                <w:szCs w:val="24"/>
              </w:rPr>
              <w:t xml:space="preserve">homes sold in </w:t>
            </w:r>
            <w:r>
              <w:rPr>
                <w:rFonts w:ascii="Times New Roman" w:hAnsi="Times New Roman" w:cs="Times New Roman"/>
                <w:sz w:val="24"/>
                <w:szCs w:val="24"/>
              </w:rPr>
              <w:t>the quarter.</w:t>
            </w:r>
          </w:p>
        </w:tc>
      </w:tr>
      <w:tr w:rsidR="00BB29F3" w14:paraId="3FEE2C5D" w14:textId="77777777" w:rsidTr="00BB29F3">
        <w:tc>
          <w:tcPr>
            <w:tcW w:w="2335" w:type="dxa"/>
          </w:tcPr>
          <w:p w14:paraId="3A64260C" w14:textId="6949CD10" w:rsidR="00BB29F3" w:rsidRDefault="00BB29F3" w:rsidP="00BB29F3">
            <w:pPr>
              <w:jc w:val="center"/>
              <w:rPr>
                <w:rFonts w:ascii="Times New Roman" w:hAnsi="Times New Roman" w:cs="Times New Roman"/>
                <w:sz w:val="24"/>
                <w:szCs w:val="24"/>
              </w:rPr>
            </w:pPr>
            <w:r w:rsidRPr="007E3430">
              <w:rPr>
                <w:rFonts w:ascii="Times New Roman" w:eastAsiaTheme="minorEastAsia" w:hAnsi="Times New Roman" w:cs="Times New Roman"/>
                <w:sz w:val="24"/>
                <w:szCs w:val="24"/>
                <w:lang w:eastAsia="ko-KR"/>
              </w:rPr>
              <w:t>Sold to List Ratio</w:t>
            </w:r>
          </w:p>
        </w:tc>
        <w:tc>
          <w:tcPr>
            <w:tcW w:w="4675" w:type="dxa"/>
          </w:tcPr>
          <w:p w14:paraId="2F147C38" w14:textId="5ED6A1A0" w:rsidR="00BB29F3" w:rsidRDefault="002B4001" w:rsidP="00111D7D">
            <w:pPr>
              <w:rPr>
                <w:rFonts w:ascii="Times New Roman" w:hAnsi="Times New Roman" w:cs="Times New Roman"/>
                <w:sz w:val="24"/>
                <w:szCs w:val="24"/>
              </w:rPr>
            </w:pPr>
            <w:r w:rsidRPr="002B4001">
              <w:rPr>
                <w:rFonts w:ascii="Times New Roman" w:hAnsi="Times New Roman" w:cs="Times New Roman"/>
                <w:sz w:val="24"/>
                <w:szCs w:val="24"/>
              </w:rPr>
              <w:t>Median Sold Price to List Price Ratio</w:t>
            </w:r>
            <w:r>
              <w:rPr>
                <w:rFonts w:ascii="Times New Roman" w:hAnsi="Times New Roman" w:cs="Times New Roman"/>
                <w:sz w:val="24"/>
                <w:szCs w:val="24"/>
              </w:rPr>
              <w:t xml:space="preserve"> for the quarter.</w:t>
            </w:r>
          </w:p>
        </w:tc>
      </w:tr>
    </w:tbl>
    <w:p w14:paraId="3D2E9431" w14:textId="001ED662" w:rsidR="00007115" w:rsidRDefault="00007115" w:rsidP="00031A3F">
      <w:pPr>
        <w:rPr>
          <w:rFonts w:ascii="Times New Roman" w:hAnsi="Times New Roman" w:cs="Times New Roman"/>
          <w:sz w:val="24"/>
          <w:szCs w:val="24"/>
        </w:rPr>
      </w:pPr>
    </w:p>
    <w:p w14:paraId="6F2E4371" w14:textId="69DE3FAF" w:rsidR="00B571BC" w:rsidRDefault="007E3430" w:rsidP="007E3430">
      <w:pPr>
        <w:rPr>
          <w:rFonts w:ascii="Times New Roman" w:hAnsi="Times New Roman" w:cs="Times New Roman"/>
          <w:sz w:val="24"/>
          <w:szCs w:val="24"/>
        </w:rPr>
      </w:pPr>
      <w:r>
        <w:rPr>
          <w:rFonts w:ascii="Times New Roman" w:hAnsi="Times New Roman" w:cs="Times New Roman"/>
          <w:sz w:val="24"/>
          <w:szCs w:val="24"/>
        </w:rPr>
        <w:t xml:space="preserve">The mean for the sold </w:t>
      </w:r>
      <w:r w:rsidR="00111D7D">
        <w:rPr>
          <w:rFonts w:ascii="Times New Roman" w:hAnsi="Times New Roman" w:cs="Times New Roman"/>
          <w:sz w:val="24"/>
          <w:szCs w:val="24"/>
        </w:rPr>
        <w:t>days on market (</w:t>
      </w:r>
      <w:r>
        <w:rPr>
          <w:rFonts w:ascii="Times New Roman" w:hAnsi="Times New Roman" w:cs="Times New Roman"/>
          <w:sz w:val="24"/>
          <w:szCs w:val="24"/>
        </w:rPr>
        <w:t>DOM</w:t>
      </w:r>
      <w:r w:rsidR="00111D7D">
        <w:rPr>
          <w:rFonts w:ascii="Times New Roman" w:hAnsi="Times New Roman" w:cs="Times New Roman"/>
          <w:sz w:val="24"/>
          <w:szCs w:val="24"/>
        </w:rPr>
        <w:t>)</w:t>
      </w:r>
      <w:r>
        <w:rPr>
          <w:rFonts w:ascii="Times New Roman" w:hAnsi="Times New Roman" w:cs="Times New Roman"/>
          <w:sz w:val="24"/>
          <w:szCs w:val="24"/>
        </w:rPr>
        <w:t xml:space="preserve"> was exactly 90.02 with a standard deviation of 23.10.  Note the standard deviation </w:t>
      </w:r>
      <w:r w:rsidR="0097751F">
        <w:rPr>
          <w:rFonts w:ascii="Times New Roman" w:hAnsi="Times New Roman" w:cs="Times New Roman"/>
          <w:sz w:val="24"/>
          <w:szCs w:val="24"/>
        </w:rPr>
        <w:t xml:space="preserve">reflects the </w:t>
      </w:r>
      <w:r>
        <w:rPr>
          <w:rFonts w:ascii="Times New Roman" w:hAnsi="Times New Roman" w:cs="Times New Roman"/>
          <w:sz w:val="24"/>
          <w:szCs w:val="24"/>
        </w:rPr>
        <w:t xml:space="preserve">aggregate calculation for each CBSA.  </w:t>
      </w:r>
      <w:r w:rsidR="0097751F">
        <w:rPr>
          <w:rFonts w:ascii="Times New Roman" w:hAnsi="Times New Roman" w:cs="Times New Roman"/>
          <w:sz w:val="24"/>
          <w:szCs w:val="24"/>
        </w:rPr>
        <w:t>The variation includes changes in time wi</w:t>
      </w:r>
      <w:r w:rsidR="00111D7D">
        <w:rPr>
          <w:rFonts w:ascii="Times New Roman" w:hAnsi="Times New Roman" w:cs="Times New Roman"/>
          <w:sz w:val="24"/>
          <w:szCs w:val="24"/>
        </w:rPr>
        <w:t>t</w:t>
      </w:r>
      <w:r w:rsidR="0097751F">
        <w:rPr>
          <w:rFonts w:ascii="Times New Roman" w:hAnsi="Times New Roman" w:cs="Times New Roman"/>
          <w:sz w:val="24"/>
          <w:szCs w:val="24"/>
        </w:rPr>
        <w:t>h</w:t>
      </w:r>
      <w:r w:rsidR="00111D7D">
        <w:rPr>
          <w:rFonts w:ascii="Times New Roman" w:hAnsi="Times New Roman" w:cs="Times New Roman"/>
          <w:sz w:val="24"/>
          <w:szCs w:val="24"/>
        </w:rPr>
        <w:t>i</w:t>
      </w:r>
      <w:r w:rsidR="0097751F">
        <w:rPr>
          <w:rFonts w:ascii="Times New Roman" w:hAnsi="Times New Roman" w:cs="Times New Roman"/>
          <w:sz w:val="24"/>
          <w:szCs w:val="24"/>
        </w:rPr>
        <w:t>n each CBSA and variation between the CBSAs</w:t>
      </w:r>
      <w:r>
        <w:rPr>
          <w:rFonts w:ascii="Times New Roman" w:hAnsi="Times New Roman" w:cs="Times New Roman"/>
          <w:sz w:val="24"/>
          <w:szCs w:val="24"/>
        </w:rPr>
        <w:t>. The average number of sales per quarter per CBSA was 2</w:t>
      </w:r>
      <w:r w:rsidR="0097751F">
        <w:rPr>
          <w:rFonts w:ascii="Times New Roman" w:hAnsi="Times New Roman" w:cs="Times New Roman"/>
          <w:sz w:val="24"/>
          <w:szCs w:val="24"/>
        </w:rPr>
        <w:t>,</w:t>
      </w:r>
      <w:r>
        <w:rPr>
          <w:rFonts w:ascii="Times New Roman" w:hAnsi="Times New Roman" w:cs="Times New Roman"/>
          <w:sz w:val="24"/>
          <w:szCs w:val="24"/>
        </w:rPr>
        <w:t xml:space="preserve">671 and the </w:t>
      </w:r>
      <w:r w:rsidR="00111D7D">
        <w:rPr>
          <w:rFonts w:ascii="Times New Roman" w:hAnsi="Times New Roman" w:cs="Times New Roman"/>
          <w:sz w:val="24"/>
          <w:szCs w:val="24"/>
        </w:rPr>
        <w:t xml:space="preserve">average </w:t>
      </w:r>
      <w:r>
        <w:rPr>
          <w:rFonts w:ascii="Times New Roman" w:hAnsi="Times New Roman" w:cs="Times New Roman"/>
          <w:sz w:val="24"/>
          <w:szCs w:val="24"/>
        </w:rPr>
        <w:t xml:space="preserve">number of active listings 6,256.  The CBSAs were ranked from shortest average DOM to longest and then entered </w:t>
      </w:r>
      <w:r>
        <w:rPr>
          <w:rFonts w:ascii="Times New Roman" w:hAnsi="Times New Roman" w:cs="Times New Roman"/>
          <w:sz w:val="24"/>
          <w:szCs w:val="24"/>
        </w:rPr>
        <w:lastRenderedPageBreak/>
        <w:t>into a regression based on rank</w:t>
      </w:r>
      <w:r w:rsidR="00B571BC">
        <w:rPr>
          <w:rFonts w:ascii="Times New Roman" w:hAnsi="Times New Roman" w:cs="Times New Roman"/>
          <w:sz w:val="24"/>
          <w:szCs w:val="24"/>
        </w:rPr>
        <w:t xml:space="preserve"> and as dummy variables</w:t>
      </w:r>
      <w:r>
        <w:rPr>
          <w:rFonts w:ascii="Times New Roman" w:hAnsi="Times New Roman" w:cs="Times New Roman"/>
          <w:sz w:val="24"/>
          <w:szCs w:val="24"/>
        </w:rPr>
        <w:t xml:space="preserve">. </w:t>
      </w:r>
      <w:r w:rsidR="00B571BC">
        <w:rPr>
          <w:rFonts w:ascii="Times New Roman" w:hAnsi="Times New Roman" w:cs="Times New Roman"/>
          <w:sz w:val="24"/>
          <w:szCs w:val="24"/>
        </w:rPr>
        <w:t>Linear and non-linear models are tested and linear models worked as well as non-linear models.</w:t>
      </w:r>
    </w:p>
    <w:p w14:paraId="6CFC00BF" w14:textId="0E3DFB83" w:rsidR="004B2F97" w:rsidRDefault="007E3430">
      <w:pPr>
        <w:rPr>
          <w:rFonts w:ascii="Times New Roman" w:hAnsi="Times New Roman" w:cs="Times New Roman"/>
          <w:sz w:val="24"/>
          <w:szCs w:val="24"/>
        </w:rPr>
      </w:pPr>
      <w:r>
        <w:rPr>
          <w:rFonts w:ascii="Times New Roman" w:hAnsi="Times New Roman" w:cs="Times New Roman"/>
          <w:sz w:val="24"/>
          <w:szCs w:val="24"/>
        </w:rPr>
        <w:t>Seasonality can be observed in Exhibit 5 shown below which shows the average DOM for all quarters over time.</w:t>
      </w:r>
      <w:r w:rsidR="004B2F97">
        <w:rPr>
          <w:rFonts w:ascii="Times New Roman" w:hAnsi="Times New Roman" w:cs="Times New Roman"/>
          <w:sz w:val="24"/>
          <w:szCs w:val="24"/>
        </w:rPr>
        <w:t xml:space="preserve"> We see the consistent pattern of longer DOM for properties put on the market in late fall or winter.  In 2009 we see a large number of faster sales as a result of foreclosures and quicker bank REO sales. Generally, we see markets slowing from 2005 through 2011 and then returning to normality and evening quickening over time.  Whether this decline in average days on market will continue is difficult to say, but a general lack of inventory and slightly lower volumes is consistent with this faster sales trend.  Reasonably priced homes generally sell within 90 days, with the current typical range of 60 to 80. </w:t>
      </w:r>
    </w:p>
    <w:p w14:paraId="4D453091" w14:textId="345F2BB0" w:rsidR="007E3430" w:rsidRPr="007E3430" w:rsidRDefault="007E3430" w:rsidP="007E3430">
      <w:pPr>
        <w:rPr>
          <w:rFonts w:ascii="Times New Roman" w:hAnsi="Times New Roman" w:cs="Times New Roman"/>
          <w:sz w:val="24"/>
          <w:szCs w:val="24"/>
        </w:rPr>
      </w:pPr>
      <w:r>
        <w:rPr>
          <w:rFonts w:ascii="Times New Roman" w:hAnsi="Times New Roman" w:cs="Times New Roman"/>
          <w:sz w:val="24"/>
          <w:szCs w:val="24"/>
        </w:rPr>
        <w:t>Exhibit 5:   DOM Over Time for all CBSA</w:t>
      </w:r>
      <w:r w:rsidR="004B2F97">
        <w:rPr>
          <w:rFonts w:ascii="Times New Roman" w:hAnsi="Times New Roman" w:cs="Times New Roman"/>
          <w:sz w:val="24"/>
          <w:szCs w:val="24"/>
        </w:rPr>
        <w:t>s</w:t>
      </w:r>
    </w:p>
    <w:p w14:paraId="68C60649" w14:textId="72A82F4B" w:rsidR="0049203E" w:rsidRDefault="004B2F97" w:rsidP="00031A3F">
      <w:pPr>
        <w:rPr>
          <w:rFonts w:ascii="Times New Roman" w:hAnsi="Times New Roman" w:cs="Times New Roman"/>
          <w:sz w:val="24"/>
          <w:szCs w:val="24"/>
        </w:rPr>
      </w:pPr>
      <w:r>
        <w:rPr>
          <w:noProof/>
        </w:rPr>
        <w:drawing>
          <wp:inline distT="0" distB="0" distL="0" distR="0" wp14:anchorId="392B3912" wp14:editId="3E4A499C">
            <wp:extent cx="5505450" cy="3762375"/>
            <wp:effectExtent l="0" t="0" r="0" b="9525"/>
            <wp:docPr id="5" name="Chart 5">
              <a:extLst xmlns:a="http://schemas.openxmlformats.org/drawingml/2006/main">
                <a:ext uri="{FF2B5EF4-FFF2-40B4-BE49-F238E27FC236}">
                  <a16:creationId xmlns:a16="http://schemas.microsoft.com/office/drawing/2014/main" id="{750DC0B5-8B4F-40B1-99C6-B0FADC0608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93168AA" w14:textId="3DD0A9AC" w:rsidR="00111D7D" w:rsidRDefault="00653283" w:rsidP="00031A3F">
      <w:pPr>
        <w:rPr>
          <w:rFonts w:ascii="Times New Roman" w:hAnsi="Times New Roman" w:cs="Times New Roman"/>
          <w:sz w:val="24"/>
          <w:szCs w:val="24"/>
        </w:rPr>
      </w:pPr>
      <w:r>
        <w:rPr>
          <w:rFonts w:ascii="Times New Roman" w:hAnsi="Times New Roman" w:cs="Times New Roman"/>
          <w:sz w:val="24"/>
          <w:szCs w:val="24"/>
        </w:rPr>
        <w:t xml:space="preserve">Months remaining inventory, like days on market, has also been generally declining since 2011. For the bottom half or so of the price tiers within most markets the months remaining inventory has been extremely low, while in the upper price ranges inventories are much higher as we saw in Exhibits 2, 3 and 4. This is unquestionably the result of a lack of affordable housing units being produced, while new housing has added to the stock of high end product in many markets. </w:t>
      </w:r>
    </w:p>
    <w:p w14:paraId="640B3646" w14:textId="5B8CFFD8" w:rsidR="00111D7D" w:rsidRDefault="00361B98" w:rsidP="00031A3F">
      <w:pPr>
        <w:rPr>
          <w:rFonts w:ascii="Times New Roman" w:hAnsi="Times New Roman" w:cs="Times New Roman"/>
          <w:sz w:val="24"/>
          <w:szCs w:val="24"/>
        </w:rPr>
      </w:pPr>
      <w:r>
        <w:rPr>
          <w:rFonts w:ascii="Times New Roman" w:hAnsi="Times New Roman" w:cs="Times New Roman"/>
          <w:sz w:val="24"/>
          <w:szCs w:val="24"/>
        </w:rPr>
        <w:t xml:space="preserve">Before showing any empirical analysis, it is helpful to show some descriptive graphs for a </w:t>
      </w:r>
      <w:r w:rsidR="005B58D0">
        <w:rPr>
          <w:rFonts w:ascii="Times New Roman" w:hAnsi="Times New Roman" w:cs="Times New Roman"/>
          <w:sz w:val="24"/>
          <w:szCs w:val="24"/>
        </w:rPr>
        <w:t xml:space="preserve">few </w:t>
      </w:r>
      <w:r>
        <w:rPr>
          <w:rFonts w:ascii="Times New Roman" w:hAnsi="Times New Roman" w:cs="Times New Roman"/>
          <w:sz w:val="24"/>
          <w:szCs w:val="24"/>
        </w:rPr>
        <w:t xml:space="preserve">sample CBSAs, that compare MRI to DOM.  We see both the seasonality of both variables and the slight but declining lead of MRI relative to DOM. In Exhibits 6 and 7, days on market are on the left Y1 axis and months of remaining are on the right vertical axis or Y2. </w:t>
      </w:r>
    </w:p>
    <w:p w14:paraId="5B7A348E" w14:textId="08EAA963" w:rsidR="00361B98" w:rsidRDefault="00361B98" w:rsidP="00031A3F">
      <w:pPr>
        <w:rPr>
          <w:rFonts w:ascii="Times New Roman" w:hAnsi="Times New Roman" w:cs="Times New Roman"/>
          <w:sz w:val="24"/>
          <w:szCs w:val="24"/>
        </w:rPr>
      </w:pPr>
      <w:bookmarkStart w:id="0" w:name="_Hlk13219286"/>
      <w:r>
        <w:rPr>
          <w:rFonts w:ascii="Times New Roman" w:hAnsi="Times New Roman" w:cs="Times New Roman"/>
          <w:sz w:val="24"/>
          <w:szCs w:val="24"/>
        </w:rPr>
        <w:lastRenderedPageBreak/>
        <w:t>Exhibit 6: Dallas CBSA Days on Market Versus Months Remaining Inventory by Quarter</w:t>
      </w:r>
    </w:p>
    <w:bookmarkEnd w:id="0"/>
    <w:p w14:paraId="3A6810D0" w14:textId="4170B32F" w:rsidR="00361B98" w:rsidRDefault="00361B98" w:rsidP="00031A3F">
      <w:pPr>
        <w:rPr>
          <w:rFonts w:ascii="Times New Roman" w:hAnsi="Times New Roman" w:cs="Times New Roman"/>
          <w:sz w:val="24"/>
          <w:szCs w:val="24"/>
        </w:rPr>
      </w:pPr>
      <w:r>
        <w:rPr>
          <w:noProof/>
        </w:rPr>
        <w:drawing>
          <wp:inline distT="0" distB="0" distL="0" distR="0" wp14:anchorId="6139C154" wp14:editId="5192D166">
            <wp:extent cx="5494351" cy="3450866"/>
            <wp:effectExtent l="0" t="0" r="11430" b="16510"/>
            <wp:docPr id="6" name="Chart 6">
              <a:extLst xmlns:a="http://schemas.openxmlformats.org/drawingml/2006/main">
                <a:ext uri="{FF2B5EF4-FFF2-40B4-BE49-F238E27FC236}">
                  <a16:creationId xmlns:a16="http://schemas.microsoft.com/office/drawing/2014/main" id="{DC6403DA-BD1D-4DDC-8E97-C542546A05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8464A7F" w14:textId="77777777" w:rsidR="00156DDE" w:rsidRDefault="00361B98">
      <w:pPr>
        <w:rPr>
          <w:rFonts w:ascii="Times New Roman" w:hAnsi="Times New Roman" w:cs="Times New Roman"/>
          <w:sz w:val="24"/>
          <w:szCs w:val="24"/>
        </w:rPr>
      </w:pPr>
      <w:r>
        <w:rPr>
          <w:rFonts w:ascii="Times New Roman" w:hAnsi="Times New Roman" w:cs="Times New Roman"/>
          <w:sz w:val="24"/>
          <w:szCs w:val="24"/>
        </w:rPr>
        <w:t xml:space="preserve">Using only the MRI to explain DOM </w:t>
      </w:r>
      <w:r w:rsidR="00156DDE">
        <w:rPr>
          <w:rFonts w:ascii="Times New Roman" w:hAnsi="Times New Roman" w:cs="Times New Roman"/>
          <w:sz w:val="24"/>
          <w:szCs w:val="24"/>
        </w:rPr>
        <w:t>for Dallas, we get an adjusted R-squared of .6743. Adding in quarterly dummies to control for seasonality this rises to .6891, as shown below:</w:t>
      </w:r>
    </w:p>
    <w:p w14:paraId="39BBDCAC" w14:textId="68CE9F25" w:rsidR="00156DDE" w:rsidRDefault="00156DDE">
      <w:pPr>
        <w:rPr>
          <w:rFonts w:ascii="Times New Roman" w:hAnsi="Times New Roman" w:cs="Times New Roman"/>
          <w:sz w:val="24"/>
          <w:szCs w:val="24"/>
        </w:rPr>
      </w:pPr>
      <w:r>
        <w:rPr>
          <w:rFonts w:ascii="Times New Roman" w:hAnsi="Times New Roman" w:cs="Times New Roman"/>
          <w:sz w:val="24"/>
          <w:szCs w:val="24"/>
        </w:rPr>
        <w:t>Sold DOM</w:t>
      </w:r>
      <w:r>
        <w:rPr>
          <w:rFonts w:ascii="Times New Roman" w:hAnsi="Times New Roman" w:cs="Times New Roman"/>
          <w:sz w:val="24"/>
          <w:szCs w:val="24"/>
        </w:rPr>
        <w:tab/>
      </w:r>
      <w:proofErr w:type="spellStart"/>
      <w:r>
        <w:rPr>
          <w:rFonts w:ascii="Times New Roman" w:hAnsi="Times New Roman" w:cs="Times New Roman"/>
          <w:sz w:val="24"/>
          <w:szCs w:val="24"/>
        </w:rPr>
        <w:t>Coef</w:t>
      </w:r>
      <w:proofErr w:type="spellEnd"/>
      <w:r>
        <w:rPr>
          <w:rFonts w:ascii="Times New Roman" w:hAnsi="Times New Roman" w:cs="Times New Roman"/>
          <w:sz w:val="24"/>
          <w:szCs w:val="24"/>
        </w:rPr>
        <w:tab/>
      </w:r>
      <w:r>
        <w:rPr>
          <w:rFonts w:ascii="Times New Roman" w:hAnsi="Times New Roman" w:cs="Times New Roman"/>
          <w:sz w:val="24"/>
          <w:szCs w:val="24"/>
        </w:rPr>
        <w:tab/>
        <w:t>Std Err.</w:t>
      </w:r>
      <w:r>
        <w:rPr>
          <w:rFonts w:ascii="Times New Roman" w:hAnsi="Times New Roman" w:cs="Times New Roman"/>
          <w:sz w:val="24"/>
          <w:szCs w:val="24"/>
        </w:rPr>
        <w:tab/>
        <w:t xml:space="preserve">t </w:t>
      </w:r>
      <w:r>
        <w:rPr>
          <w:rFonts w:ascii="Times New Roman" w:hAnsi="Times New Roman" w:cs="Times New Roman"/>
          <w:sz w:val="24"/>
          <w:szCs w:val="24"/>
        </w:rPr>
        <w:tab/>
        <w:t>P&gt;|t|</w:t>
      </w:r>
      <w:r>
        <w:rPr>
          <w:rFonts w:ascii="Times New Roman" w:hAnsi="Times New Roman" w:cs="Times New Roman"/>
          <w:sz w:val="24"/>
          <w:szCs w:val="24"/>
        </w:rPr>
        <w:tab/>
        <w:t>95% Conf Interval Range</w:t>
      </w:r>
    </w:p>
    <w:p w14:paraId="3258BF6B" w14:textId="2686BE14" w:rsidR="00156DDE" w:rsidRDefault="00156DDE">
      <w:pPr>
        <w:rPr>
          <w:rFonts w:ascii="Times New Roman" w:hAnsi="Times New Roman" w:cs="Times New Roman"/>
          <w:sz w:val="24"/>
          <w:szCs w:val="24"/>
        </w:rPr>
      </w:pPr>
      <w:r>
        <w:rPr>
          <w:rFonts w:ascii="Times New Roman" w:hAnsi="Times New Roman" w:cs="Times New Roman"/>
          <w:sz w:val="24"/>
          <w:szCs w:val="24"/>
        </w:rPr>
        <w:t>Q1</w:t>
      </w:r>
      <w:r>
        <w:rPr>
          <w:rFonts w:ascii="Times New Roman" w:hAnsi="Times New Roman" w:cs="Times New Roman"/>
          <w:sz w:val="24"/>
          <w:szCs w:val="24"/>
        </w:rPr>
        <w:tab/>
      </w:r>
      <w:r>
        <w:rPr>
          <w:rFonts w:ascii="Times New Roman" w:hAnsi="Times New Roman" w:cs="Times New Roman"/>
          <w:sz w:val="24"/>
          <w:szCs w:val="24"/>
        </w:rPr>
        <w:tab/>
        <w:t>-5.559</w:t>
      </w:r>
      <w:r>
        <w:rPr>
          <w:rFonts w:ascii="Times New Roman" w:hAnsi="Times New Roman" w:cs="Times New Roman"/>
          <w:sz w:val="24"/>
          <w:szCs w:val="24"/>
        </w:rPr>
        <w:tab/>
      </w:r>
      <w:r>
        <w:rPr>
          <w:rFonts w:ascii="Times New Roman" w:hAnsi="Times New Roman" w:cs="Times New Roman"/>
          <w:sz w:val="24"/>
          <w:szCs w:val="24"/>
        </w:rPr>
        <w:tab/>
        <w:t>3.398</w:t>
      </w:r>
      <w:r>
        <w:rPr>
          <w:rFonts w:ascii="Times New Roman" w:hAnsi="Times New Roman" w:cs="Times New Roman"/>
          <w:sz w:val="24"/>
          <w:szCs w:val="24"/>
        </w:rPr>
        <w:tab/>
      </w:r>
      <w:r>
        <w:rPr>
          <w:rFonts w:ascii="Times New Roman" w:hAnsi="Times New Roman" w:cs="Times New Roman"/>
          <w:sz w:val="24"/>
          <w:szCs w:val="24"/>
        </w:rPr>
        <w:tab/>
        <w:t>-1.64</w:t>
      </w:r>
      <w:r>
        <w:rPr>
          <w:rFonts w:ascii="Times New Roman" w:hAnsi="Times New Roman" w:cs="Times New Roman"/>
          <w:sz w:val="24"/>
          <w:szCs w:val="24"/>
        </w:rPr>
        <w:tab/>
        <w:t>.108</w:t>
      </w:r>
      <w:r>
        <w:rPr>
          <w:rFonts w:ascii="Times New Roman" w:hAnsi="Times New Roman" w:cs="Times New Roman"/>
          <w:sz w:val="24"/>
          <w:szCs w:val="24"/>
        </w:rPr>
        <w:tab/>
        <w:t>-12.377 to 1.259</w:t>
      </w:r>
    </w:p>
    <w:p w14:paraId="472395D5" w14:textId="3D209946" w:rsidR="00156DDE" w:rsidRDefault="00156DDE">
      <w:pPr>
        <w:rPr>
          <w:rFonts w:ascii="Times New Roman" w:hAnsi="Times New Roman" w:cs="Times New Roman"/>
          <w:sz w:val="24"/>
          <w:szCs w:val="24"/>
        </w:rPr>
      </w:pPr>
      <w:r>
        <w:rPr>
          <w:rFonts w:ascii="Times New Roman" w:hAnsi="Times New Roman" w:cs="Times New Roman"/>
          <w:sz w:val="24"/>
          <w:szCs w:val="24"/>
        </w:rPr>
        <w:t>Q2</w:t>
      </w:r>
      <w:r>
        <w:rPr>
          <w:rFonts w:ascii="Times New Roman" w:hAnsi="Times New Roman" w:cs="Times New Roman"/>
          <w:sz w:val="24"/>
          <w:szCs w:val="24"/>
        </w:rPr>
        <w:tab/>
      </w:r>
      <w:r>
        <w:rPr>
          <w:rFonts w:ascii="Times New Roman" w:hAnsi="Times New Roman" w:cs="Times New Roman"/>
          <w:sz w:val="24"/>
          <w:szCs w:val="24"/>
        </w:rPr>
        <w:tab/>
        <w:t>-7.416</w:t>
      </w:r>
      <w:r>
        <w:rPr>
          <w:rFonts w:ascii="Times New Roman" w:hAnsi="Times New Roman" w:cs="Times New Roman"/>
          <w:sz w:val="24"/>
          <w:szCs w:val="24"/>
        </w:rPr>
        <w:tab/>
      </w:r>
      <w:r>
        <w:rPr>
          <w:rFonts w:ascii="Times New Roman" w:hAnsi="Times New Roman" w:cs="Times New Roman"/>
          <w:sz w:val="24"/>
          <w:szCs w:val="24"/>
        </w:rPr>
        <w:tab/>
        <w:t>3.402</w:t>
      </w:r>
      <w:r>
        <w:rPr>
          <w:rFonts w:ascii="Times New Roman" w:hAnsi="Times New Roman" w:cs="Times New Roman"/>
          <w:sz w:val="24"/>
          <w:szCs w:val="24"/>
        </w:rPr>
        <w:tab/>
      </w:r>
      <w:r>
        <w:rPr>
          <w:rFonts w:ascii="Times New Roman" w:hAnsi="Times New Roman" w:cs="Times New Roman"/>
          <w:sz w:val="24"/>
          <w:szCs w:val="24"/>
        </w:rPr>
        <w:tab/>
        <w:t>-2.18</w:t>
      </w:r>
      <w:r>
        <w:rPr>
          <w:rFonts w:ascii="Times New Roman" w:hAnsi="Times New Roman" w:cs="Times New Roman"/>
          <w:sz w:val="24"/>
          <w:szCs w:val="24"/>
        </w:rPr>
        <w:tab/>
        <w:t>.034</w:t>
      </w:r>
      <w:r>
        <w:rPr>
          <w:rFonts w:ascii="Times New Roman" w:hAnsi="Times New Roman" w:cs="Times New Roman"/>
          <w:sz w:val="24"/>
          <w:szCs w:val="24"/>
        </w:rPr>
        <w:tab/>
        <w:t>-14.243 to -.589</w:t>
      </w:r>
    </w:p>
    <w:p w14:paraId="4D7619D4" w14:textId="166CEF77" w:rsidR="00156DDE" w:rsidRDefault="00156DDE">
      <w:pPr>
        <w:rPr>
          <w:rFonts w:ascii="Times New Roman" w:hAnsi="Times New Roman" w:cs="Times New Roman"/>
          <w:sz w:val="24"/>
          <w:szCs w:val="24"/>
        </w:rPr>
      </w:pPr>
      <w:r>
        <w:rPr>
          <w:rFonts w:ascii="Times New Roman" w:hAnsi="Times New Roman" w:cs="Times New Roman"/>
          <w:sz w:val="24"/>
          <w:szCs w:val="24"/>
        </w:rPr>
        <w:t>Q3</w:t>
      </w:r>
      <w:r>
        <w:rPr>
          <w:rFonts w:ascii="Times New Roman" w:hAnsi="Times New Roman" w:cs="Times New Roman"/>
          <w:sz w:val="24"/>
          <w:szCs w:val="24"/>
        </w:rPr>
        <w:tab/>
      </w:r>
      <w:r>
        <w:rPr>
          <w:rFonts w:ascii="Times New Roman" w:hAnsi="Times New Roman" w:cs="Times New Roman"/>
          <w:sz w:val="24"/>
          <w:szCs w:val="24"/>
        </w:rPr>
        <w:tab/>
        <w:t>-6.195</w:t>
      </w:r>
      <w:r>
        <w:rPr>
          <w:rFonts w:ascii="Times New Roman" w:hAnsi="Times New Roman" w:cs="Times New Roman"/>
          <w:sz w:val="24"/>
          <w:szCs w:val="24"/>
        </w:rPr>
        <w:tab/>
      </w:r>
      <w:r>
        <w:rPr>
          <w:rFonts w:ascii="Times New Roman" w:hAnsi="Times New Roman" w:cs="Times New Roman"/>
          <w:sz w:val="24"/>
          <w:szCs w:val="24"/>
        </w:rPr>
        <w:tab/>
        <w:t>3.401</w:t>
      </w:r>
      <w:r>
        <w:rPr>
          <w:rFonts w:ascii="Times New Roman" w:hAnsi="Times New Roman" w:cs="Times New Roman"/>
          <w:sz w:val="24"/>
          <w:szCs w:val="24"/>
        </w:rPr>
        <w:tab/>
      </w:r>
      <w:r>
        <w:rPr>
          <w:rFonts w:ascii="Times New Roman" w:hAnsi="Times New Roman" w:cs="Times New Roman"/>
          <w:sz w:val="24"/>
          <w:szCs w:val="24"/>
        </w:rPr>
        <w:tab/>
        <w:t>-1.82</w:t>
      </w:r>
      <w:r>
        <w:rPr>
          <w:rFonts w:ascii="Times New Roman" w:hAnsi="Times New Roman" w:cs="Times New Roman"/>
          <w:sz w:val="24"/>
          <w:szCs w:val="24"/>
        </w:rPr>
        <w:tab/>
        <w:t>.074</w:t>
      </w:r>
      <w:r>
        <w:rPr>
          <w:rFonts w:ascii="Times New Roman" w:hAnsi="Times New Roman" w:cs="Times New Roman"/>
          <w:sz w:val="24"/>
          <w:szCs w:val="24"/>
        </w:rPr>
        <w:tab/>
        <w:t>-13.021 to   .631</w:t>
      </w:r>
    </w:p>
    <w:p w14:paraId="30C55243" w14:textId="3C02A098" w:rsidR="00156DDE" w:rsidRDefault="00156DDE">
      <w:pPr>
        <w:rPr>
          <w:rFonts w:ascii="Times New Roman" w:hAnsi="Times New Roman" w:cs="Times New Roman"/>
          <w:sz w:val="24"/>
          <w:szCs w:val="24"/>
        </w:rPr>
      </w:pPr>
      <w:r>
        <w:rPr>
          <w:rFonts w:ascii="Times New Roman" w:hAnsi="Times New Roman" w:cs="Times New Roman"/>
          <w:sz w:val="24"/>
          <w:szCs w:val="24"/>
        </w:rPr>
        <w:t>MRI</w:t>
      </w:r>
      <w:r>
        <w:rPr>
          <w:rFonts w:ascii="Times New Roman" w:hAnsi="Times New Roman" w:cs="Times New Roman"/>
          <w:sz w:val="24"/>
          <w:szCs w:val="24"/>
        </w:rPr>
        <w:tab/>
      </w:r>
      <w:proofErr w:type="gramStart"/>
      <w:r>
        <w:rPr>
          <w:rFonts w:ascii="Times New Roman" w:hAnsi="Times New Roman" w:cs="Times New Roman"/>
          <w:sz w:val="24"/>
          <w:szCs w:val="24"/>
        </w:rPr>
        <w:tab/>
        <w:t xml:space="preserve">  5</w:t>
      </w:r>
      <w:proofErr w:type="gramEnd"/>
      <w:r>
        <w:rPr>
          <w:rFonts w:ascii="Times New Roman" w:hAnsi="Times New Roman" w:cs="Times New Roman"/>
          <w:sz w:val="24"/>
          <w:szCs w:val="24"/>
        </w:rPr>
        <w:t>.349</w:t>
      </w:r>
      <w:r>
        <w:rPr>
          <w:rFonts w:ascii="Times New Roman" w:hAnsi="Times New Roman" w:cs="Times New Roman"/>
          <w:sz w:val="24"/>
          <w:szCs w:val="24"/>
        </w:rPr>
        <w:tab/>
      </w:r>
      <w:r>
        <w:rPr>
          <w:rFonts w:ascii="Times New Roman" w:hAnsi="Times New Roman" w:cs="Times New Roman"/>
          <w:sz w:val="24"/>
          <w:szCs w:val="24"/>
        </w:rPr>
        <w:tab/>
        <w:t xml:space="preserve"> .503</w:t>
      </w:r>
      <w:r>
        <w:rPr>
          <w:rFonts w:ascii="Times New Roman" w:hAnsi="Times New Roman" w:cs="Times New Roman"/>
          <w:sz w:val="24"/>
          <w:szCs w:val="24"/>
        </w:rPr>
        <w:tab/>
      </w:r>
      <w:r>
        <w:rPr>
          <w:rFonts w:ascii="Times New Roman" w:hAnsi="Times New Roman" w:cs="Times New Roman"/>
          <w:sz w:val="24"/>
          <w:szCs w:val="24"/>
        </w:rPr>
        <w:tab/>
        <w:t>10.62</w:t>
      </w:r>
      <w:r>
        <w:rPr>
          <w:rFonts w:ascii="Times New Roman" w:hAnsi="Times New Roman" w:cs="Times New Roman"/>
          <w:sz w:val="24"/>
          <w:szCs w:val="24"/>
        </w:rPr>
        <w:tab/>
        <w:t>.000</w:t>
      </w:r>
      <w:r>
        <w:rPr>
          <w:rFonts w:ascii="Times New Roman" w:hAnsi="Times New Roman" w:cs="Times New Roman"/>
          <w:sz w:val="24"/>
          <w:szCs w:val="24"/>
        </w:rPr>
        <w:tab/>
        <w:t xml:space="preserve">   4.334 to  6.360</w:t>
      </w:r>
    </w:p>
    <w:p w14:paraId="55252F0A" w14:textId="77777777" w:rsidR="00156DDE" w:rsidRDefault="00156DDE">
      <w:pPr>
        <w:rPr>
          <w:rFonts w:ascii="Times New Roman" w:hAnsi="Times New Roman" w:cs="Times New Roman"/>
          <w:sz w:val="24"/>
          <w:szCs w:val="24"/>
        </w:rPr>
      </w:pPr>
      <w:r>
        <w:rPr>
          <w:rFonts w:ascii="Times New Roman" w:hAnsi="Times New Roman" w:cs="Times New Roman"/>
          <w:sz w:val="24"/>
          <w:szCs w:val="24"/>
        </w:rPr>
        <w:t>Cons</w:t>
      </w:r>
      <w:r>
        <w:rPr>
          <w:rFonts w:ascii="Times New Roman" w:hAnsi="Times New Roman" w:cs="Times New Roman"/>
          <w:sz w:val="24"/>
          <w:szCs w:val="24"/>
        </w:rPr>
        <w:tab/>
      </w:r>
      <w:r>
        <w:rPr>
          <w:rFonts w:ascii="Times New Roman" w:hAnsi="Times New Roman" w:cs="Times New Roman"/>
          <w:sz w:val="24"/>
          <w:szCs w:val="24"/>
        </w:rPr>
        <w:tab/>
        <w:t>44.671</w:t>
      </w:r>
      <w:r>
        <w:rPr>
          <w:rFonts w:ascii="Times New Roman" w:hAnsi="Times New Roman" w:cs="Times New Roman"/>
          <w:sz w:val="24"/>
          <w:szCs w:val="24"/>
        </w:rPr>
        <w:tab/>
      </w:r>
      <w:r>
        <w:rPr>
          <w:rFonts w:ascii="Times New Roman" w:hAnsi="Times New Roman" w:cs="Times New Roman"/>
          <w:sz w:val="24"/>
          <w:szCs w:val="24"/>
        </w:rPr>
        <w:tab/>
        <w:t>3.457</w:t>
      </w:r>
      <w:r>
        <w:rPr>
          <w:rFonts w:ascii="Times New Roman" w:hAnsi="Times New Roman" w:cs="Times New Roman"/>
          <w:sz w:val="24"/>
          <w:szCs w:val="24"/>
        </w:rPr>
        <w:tab/>
      </w:r>
      <w:r>
        <w:rPr>
          <w:rFonts w:ascii="Times New Roman" w:hAnsi="Times New Roman" w:cs="Times New Roman"/>
          <w:sz w:val="24"/>
          <w:szCs w:val="24"/>
        </w:rPr>
        <w:tab/>
        <w:t>12.92</w:t>
      </w:r>
      <w:r>
        <w:rPr>
          <w:rFonts w:ascii="Times New Roman" w:hAnsi="Times New Roman" w:cs="Times New Roman"/>
          <w:sz w:val="24"/>
          <w:szCs w:val="24"/>
        </w:rPr>
        <w:tab/>
        <w:t>.000</w:t>
      </w:r>
      <w:r>
        <w:rPr>
          <w:rFonts w:ascii="Times New Roman" w:hAnsi="Times New Roman" w:cs="Times New Roman"/>
          <w:sz w:val="24"/>
          <w:szCs w:val="24"/>
        </w:rPr>
        <w:tab/>
        <w:t xml:space="preserve"> 37.734 to 51.609</w:t>
      </w:r>
    </w:p>
    <w:p w14:paraId="01F26244" w14:textId="79E3B712" w:rsidR="00361B98" w:rsidRDefault="00156DDE">
      <w:pPr>
        <w:rPr>
          <w:rFonts w:ascii="Times New Roman" w:hAnsi="Times New Roman" w:cs="Times New Roman"/>
          <w:sz w:val="24"/>
          <w:szCs w:val="24"/>
        </w:rPr>
      </w:pPr>
      <w:r>
        <w:rPr>
          <w:rFonts w:ascii="Times New Roman" w:hAnsi="Times New Roman" w:cs="Times New Roman"/>
          <w:sz w:val="24"/>
          <w:szCs w:val="24"/>
        </w:rPr>
        <w:t>The results are very significant and show that MRI and seasonality explain a great deal of the variation in DOM.</w:t>
      </w:r>
      <w:r w:rsidR="00361B98">
        <w:rPr>
          <w:rFonts w:ascii="Times New Roman" w:hAnsi="Times New Roman" w:cs="Times New Roman"/>
          <w:sz w:val="24"/>
          <w:szCs w:val="24"/>
        </w:rPr>
        <w:br w:type="page"/>
      </w:r>
    </w:p>
    <w:p w14:paraId="1972222A" w14:textId="0878160B" w:rsidR="00361B98" w:rsidRDefault="00361B98" w:rsidP="00361B98">
      <w:pPr>
        <w:rPr>
          <w:rFonts w:ascii="Times New Roman" w:hAnsi="Times New Roman" w:cs="Times New Roman"/>
          <w:sz w:val="24"/>
          <w:szCs w:val="24"/>
        </w:rPr>
      </w:pPr>
      <w:r>
        <w:rPr>
          <w:rFonts w:ascii="Times New Roman" w:hAnsi="Times New Roman" w:cs="Times New Roman"/>
          <w:sz w:val="24"/>
          <w:szCs w:val="24"/>
        </w:rPr>
        <w:lastRenderedPageBreak/>
        <w:t>Exhibit 7: Chicago CBSA Days on Market Versus Months Remaining Inventory by Quarter</w:t>
      </w:r>
    </w:p>
    <w:p w14:paraId="781C00C4" w14:textId="6D4EADF6" w:rsidR="00361B98" w:rsidRDefault="00361B98" w:rsidP="00031A3F">
      <w:pPr>
        <w:rPr>
          <w:rFonts w:ascii="Times New Roman" w:hAnsi="Times New Roman" w:cs="Times New Roman"/>
          <w:sz w:val="24"/>
          <w:szCs w:val="24"/>
        </w:rPr>
      </w:pPr>
      <w:r>
        <w:rPr>
          <w:noProof/>
        </w:rPr>
        <w:drawing>
          <wp:inline distT="0" distB="0" distL="0" distR="0" wp14:anchorId="7E74A4CF" wp14:editId="579041D9">
            <wp:extent cx="5557962" cy="3740288"/>
            <wp:effectExtent l="0" t="0" r="5080" b="12700"/>
            <wp:docPr id="7" name="Chart 7">
              <a:extLst xmlns:a="http://schemas.openxmlformats.org/drawingml/2006/main">
                <a:ext uri="{FF2B5EF4-FFF2-40B4-BE49-F238E27FC236}">
                  <a16:creationId xmlns:a16="http://schemas.microsoft.com/office/drawing/2014/main" id="{DC6403DA-BD1D-4DDC-8E97-C542546A05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8CC6760" w14:textId="0856F98B" w:rsidR="005B58D0" w:rsidRDefault="005B58D0" w:rsidP="005B58D0">
      <w:pPr>
        <w:rPr>
          <w:rFonts w:ascii="Times New Roman" w:hAnsi="Times New Roman" w:cs="Times New Roman"/>
          <w:sz w:val="24"/>
          <w:szCs w:val="24"/>
        </w:rPr>
      </w:pPr>
      <w:r>
        <w:rPr>
          <w:rFonts w:ascii="Times New Roman" w:hAnsi="Times New Roman" w:cs="Times New Roman"/>
          <w:sz w:val="24"/>
          <w:szCs w:val="24"/>
        </w:rPr>
        <w:t>Using only the MRI to explain DOM for Chicago, we get an adjusted R-squared of .7077. Adding in quarterly dummies to control for seasonality this rises to .7387, as shown below:</w:t>
      </w:r>
    </w:p>
    <w:p w14:paraId="6992A2F5" w14:textId="77777777" w:rsidR="005B58D0" w:rsidRDefault="005B58D0" w:rsidP="005B58D0">
      <w:pPr>
        <w:rPr>
          <w:rFonts w:ascii="Times New Roman" w:hAnsi="Times New Roman" w:cs="Times New Roman"/>
          <w:sz w:val="24"/>
          <w:szCs w:val="24"/>
        </w:rPr>
      </w:pPr>
      <w:r>
        <w:rPr>
          <w:rFonts w:ascii="Times New Roman" w:hAnsi="Times New Roman" w:cs="Times New Roman"/>
          <w:sz w:val="24"/>
          <w:szCs w:val="24"/>
        </w:rPr>
        <w:t>Sold DOM</w:t>
      </w:r>
      <w:r>
        <w:rPr>
          <w:rFonts w:ascii="Times New Roman" w:hAnsi="Times New Roman" w:cs="Times New Roman"/>
          <w:sz w:val="24"/>
          <w:szCs w:val="24"/>
        </w:rPr>
        <w:tab/>
      </w:r>
      <w:proofErr w:type="spellStart"/>
      <w:r>
        <w:rPr>
          <w:rFonts w:ascii="Times New Roman" w:hAnsi="Times New Roman" w:cs="Times New Roman"/>
          <w:sz w:val="24"/>
          <w:szCs w:val="24"/>
        </w:rPr>
        <w:t>Coef</w:t>
      </w:r>
      <w:proofErr w:type="spellEnd"/>
      <w:r>
        <w:rPr>
          <w:rFonts w:ascii="Times New Roman" w:hAnsi="Times New Roman" w:cs="Times New Roman"/>
          <w:sz w:val="24"/>
          <w:szCs w:val="24"/>
        </w:rPr>
        <w:tab/>
      </w:r>
      <w:r>
        <w:rPr>
          <w:rFonts w:ascii="Times New Roman" w:hAnsi="Times New Roman" w:cs="Times New Roman"/>
          <w:sz w:val="24"/>
          <w:szCs w:val="24"/>
        </w:rPr>
        <w:tab/>
        <w:t>Std Err.</w:t>
      </w:r>
      <w:r>
        <w:rPr>
          <w:rFonts w:ascii="Times New Roman" w:hAnsi="Times New Roman" w:cs="Times New Roman"/>
          <w:sz w:val="24"/>
          <w:szCs w:val="24"/>
        </w:rPr>
        <w:tab/>
        <w:t xml:space="preserve">t </w:t>
      </w:r>
      <w:r>
        <w:rPr>
          <w:rFonts w:ascii="Times New Roman" w:hAnsi="Times New Roman" w:cs="Times New Roman"/>
          <w:sz w:val="24"/>
          <w:szCs w:val="24"/>
        </w:rPr>
        <w:tab/>
        <w:t>P&gt;|t|</w:t>
      </w:r>
      <w:r>
        <w:rPr>
          <w:rFonts w:ascii="Times New Roman" w:hAnsi="Times New Roman" w:cs="Times New Roman"/>
          <w:sz w:val="24"/>
          <w:szCs w:val="24"/>
        </w:rPr>
        <w:tab/>
        <w:t>95% Conf Interval Range</w:t>
      </w:r>
    </w:p>
    <w:p w14:paraId="39828225" w14:textId="4359E7BB" w:rsidR="005B58D0" w:rsidRDefault="005B58D0" w:rsidP="005B58D0">
      <w:pPr>
        <w:rPr>
          <w:rFonts w:ascii="Times New Roman" w:hAnsi="Times New Roman" w:cs="Times New Roman"/>
          <w:sz w:val="24"/>
          <w:szCs w:val="24"/>
        </w:rPr>
      </w:pPr>
      <w:r>
        <w:rPr>
          <w:rFonts w:ascii="Times New Roman" w:hAnsi="Times New Roman" w:cs="Times New Roman"/>
          <w:sz w:val="24"/>
          <w:szCs w:val="24"/>
        </w:rPr>
        <w:t>Q1</w:t>
      </w:r>
      <w:r>
        <w:rPr>
          <w:rFonts w:ascii="Times New Roman" w:hAnsi="Times New Roman" w:cs="Times New Roman"/>
          <w:sz w:val="24"/>
          <w:szCs w:val="24"/>
        </w:rPr>
        <w:tab/>
      </w:r>
      <w:r>
        <w:rPr>
          <w:rFonts w:ascii="Times New Roman" w:hAnsi="Times New Roman" w:cs="Times New Roman"/>
          <w:sz w:val="24"/>
          <w:szCs w:val="24"/>
        </w:rPr>
        <w:tab/>
        <w:t xml:space="preserve"> 2.479</w:t>
      </w:r>
      <w:r>
        <w:rPr>
          <w:rFonts w:ascii="Times New Roman" w:hAnsi="Times New Roman" w:cs="Times New Roman"/>
          <w:sz w:val="24"/>
          <w:szCs w:val="24"/>
        </w:rPr>
        <w:tab/>
      </w:r>
      <w:r>
        <w:rPr>
          <w:rFonts w:ascii="Times New Roman" w:hAnsi="Times New Roman" w:cs="Times New Roman"/>
          <w:sz w:val="24"/>
          <w:szCs w:val="24"/>
        </w:rPr>
        <w:tab/>
        <w:t>2.854</w:t>
      </w:r>
      <w:r>
        <w:rPr>
          <w:rFonts w:ascii="Times New Roman" w:hAnsi="Times New Roman" w:cs="Times New Roman"/>
          <w:sz w:val="24"/>
          <w:szCs w:val="24"/>
        </w:rPr>
        <w:tab/>
      </w:r>
      <w:r>
        <w:rPr>
          <w:rFonts w:ascii="Times New Roman" w:hAnsi="Times New Roman" w:cs="Times New Roman"/>
          <w:sz w:val="24"/>
          <w:szCs w:val="24"/>
        </w:rPr>
        <w:tab/>
        <w:t xml:space="preserve"> 0.87</w:t>
      </w:r>
      <w:r>
        <w:rPr>
          <w:rFonts w:ascii="Times New Roman" w:hAnsi="Times New Roman" w:cs="Times New Roman"/>
          <w:sz w:val="24"/>
          <w:szCs w:val="24"/>
        </w:rPr>
        <w:tab/>
        <w:t>.389</w:t>
      </w:r>
      <w:r>
        <w:rPr>
          <w:rFonts w:ascii="Times New Roman" w:hAnsi="Times New Roman" w:cs="Times New Roman"/>
          <w:sz w:val="24"/>
          <w:szCs w:val="24"/>
        </w:rPr>
        <w:tab/>
        <w:t>-3.248 to 8.208</w:t>
      </w:r>
    </w:p>
    <w:p w14:paraId="5EC7A9EB" w14:textId="1D7B0556" w:rsidR="005B58D0" w:rsidRDefault="005B58D0" w:rsidP="005B58D0">
      <w:pPr>
        <w:rPr>
          <w:rFonts w:ascii="Times New Roman" w:hAnsi="Times New Roman" w:cs="Times New Roman"/>
          <w:sz w:val="24"/>
          <w:szCs w:val="24"/>
        </w:rPr>
      </w:pPr>
      <w:r>
        <w:rPr>
          <w:rFonts w:ascii="Times New Roman" w:hAnsi="Times New Roman" w:cs="Times New Roman"/>
          <w:sz w:val="24"/>
          <w:szCs w:val="24"/>
        </w:rPr>
        <w:t>Q2</w:t>
      </w:r>
      <w:r>
        <w:rPr>
          <w:rFonts w:ascii="Times New Roman" w:hAnsi="Times New Roman" w:cs="Times New Roman"/>
          <w:sz w:val="24"/>
          <w:szCs w:val="24"/>
        </w:rPr>
        <w:tab/>
      </w:r>
      <w:r>
        <w:rPr>
          <w:rFonts w:ascii="Times New Roman" w:hAnsi="Times New Roman" w:cs="Times New Roman"/>
          <w:sz w:val="24"/>
          <w:szCs w:val="24"/>
        </w:rPr>
        <w:tab/>
        <w:t>-5.538</w:t>
      </w:r>
      <w:r>
        <w:rPr>
          <w:rFonts w:ascii="Times New Roman" w:hAnsi="Times New Roman" w:cs="Times New Roman"/>
          <w:sz w:val="24"/>
          <w:szCs w:val="24"/>
        </w:rPr>
        <w:tab/>
      </w:r>
      <w:r>
        <w:rPr>
          <w:rFonts w:ascii="Times New Roman" w:hAnsi="Times New Roman" w:cs="Times New Roman"/>
          <w:sz w:val="24"/>
          <w:szCs w:val="24"/>
        </w:rPr>
        <w:tab/>
        <w:t>2.845</w:t>
      </w:r>
      <w:r>
        <w:rPr>
          <w:rFonts w:ascii="Times New Roman" w:hAnsi="Times New Roman" w:cs="Times New Roman"/>
          <w:sz w:val="24"/>
          <w:szCs w:val="24"/>
        </w:rPr>
        <w:tab/>
      </w:r>
      <w:r>
        <w:rPr>
          <w:rFonts w:ascii="Times New Roman" w:hAnsi="Times New Roman" w:cs="Times New Roman"/>
          <w:sz w:val="24"/>
          <w:szCs w:val="24"/>
        </w:rPr>
        <w:tab/>
        <w:t>-1.95</w:t>
      </w:r>
      <w:r>
        <w:rPr>
          <w:rFonts w:ascii="Times New Roman" w:hAnsi="Times New Roman" w:cs="Times New Roman"/>
          <w:sz w:val="24"/>
          <w:szCs w:val="24"/>
        </w:rPr>
        <w:tab/>
        <w:t>.057</w:t>
      </w:r>
      <w:r>
        <w:rPr>
          <w:rFonts w:ascii="Times New Roman" w:hAnsi="Times New Roman" w:cs="Times New Roman"/>
          <w:sz w:val="24"/>
          <w:szCs w:val="24"/>
        </w:rPr>
        <w:tab/>
        <w:t>-11.248 to .172</w:t>
      </w:r>
    </w:p>
    <w:p w14:paraId="2CCE8C77" w14:textId="3ED64F35" w:rsidR="005B58D0" w:rsidRDefault="005B58D0" w:rsidP="005B58D0">
      <w:pPr>
        <w:rPr>
          <w:rFonts w:ascii="Times New Roman" w:hAnsi="Times New Roman" w:cs="Times New Roman"/>
          <w:sz w:val="24"/>
          <w:szCs w:val="24"/>
        </w:rPr>
      </w:pPr>
      <w:r>
        <w:rPr>
          <w:rFonts w:ascii="Times New Roman" w:hAnsi="Times New Roman" w:cs="Times New Roman"/>
          <w:sz w:val="24"/>
          <w:szCs w:val="24"/>
        </w:rPr>
        <w:t>Q3</w:t>
      </w:r>
      <w:r>
        <w:rPr>
          <w:rFonts w:ascii="Times New Roman" w:hAnsi="Times New Roman" w:cs="Times New Roman"/>
          <w:sz w:val="24"/>
          <w:szCs w:val="24"/>
        </w:rPr>
        <w:tab/>
      </w:r>
      <w:r>
        <w:rPr>
          <w:rFonts w:ascii="Times New Roman" w:hAnsi="Times New Roman" w:cs="Times New Roman"/>
          <w:sz w:val="24"/>
          <w:szCs w:val="24"/>
        </w:rPr>
        <w:tab/>
        <w:t>-3.868</w:t>
      </w:r>
      <w:r>
        <w:rPr>
          <w:rFonts w:ascii="Times New Roman" w:hAnsi="Times New Roman" w:cs="Times New Roman"/>
          <w:sz w:val="24"/>
          <w:szCs w:val="24"/>
        </w:rPr>
        <w:tab/>
      </w:r>
      <w:r>
        <w:rPr>
          <w:rFonts w:ascii="Times New Roman" w:hAnsi="Times New Roman" w:cs="Times New Roman"/>
          <w:sz w:val="24"/>
          <w:szCs w:val="24"/>
        </w:rPr>
        <w:tab/>
        <w:t>2.848</w:t>
      </w:r>
      <w:r>
        <w:rPr>
          <w:rFonts w:ascii="Times New Roman" w:hAnsi="Times New Roman" w:cs="Times New Roman"/>
          <w:sz w:val="24"/>
          <w:szCs w:val="24"/>
        </w:rPr>
        <w:tab/>
      </w:r>
      <w:r>
        <w:rPr>
          <w:rFonts w:ascii="Times New Roman" w:hAnsi="Times New Roman" w:cs="Times New Roman"/>
          <w:sz w:val="24"/>
          <w:szCs w:val="24"/>
        </w:rPr>
        <w:tab/>
        <w:t>-1.36</w:t>
      </w:r>
      <w:r>
        <w:rPr>
          <w:rFonts w:ascii="Times New Roman" w:hAnsi="Times New Roman" w:cs="Times New Roman"/>
          <w:sz w:val="24"/>
          <w:szCs w:val="24"/>
        </w:rPr>
        <w:tab/>
        <w:t>.180</w:t>
      </w:r>
      <w:r>
        <w:rPr>
          <w:rFonts w:ascii="Times New Roman" w:hAnsi="Times New Roman" w:cs="Times New Roman"/>
          <w:sz w:val="24"/>
          <w:szCs w:val="24"/>
        </w:rPr>
        <w:tab/>
        <w:t xml:space="preserve"> -9.584 </w:t>
      </w:r>
      <w:proofErr w:type="gramStart"/>
      <w:r>
        <w:rPr>
          <w:rFonts w:ascii="Times New Roman" w:hAnsi="Times New Roman" w:cs="Times New Roman"/>
          <w:sz w:val="24"/>
          <w:szCs w:val="24"/>
        </w:rPr>
        <w:t>to  1.848</w:t>
      </w:r>
      <w:proofErr w:type="gramEnd"/>
    </w:p>
    <w:p w14:paraId="0AEF80E2" w14:textId="537DE31D" w:rsidR="005B58D0" w:rsidRDefault="005B58D0" w:rsidP="005B58D0">
      <w:pPr>
        <w:rPr>
          <w:rFonts w:ascii="Times New Roman" w:hAnsi="Times New Roman" w:cs="Times New Roman"/>
          <w:sz w:val="24"/>
          <w:szCs w:val="24"/>
        </w:rPr>
      </w:pPr>
      <w:r>
        <w:rPr>
          <w:rFonts w:ascii="Times New Roman" w:hAnsi="Times New Roman" w:cs="Times New Roman"/>
          <w:sz w:val="24"/>
          <w:szCs w:val="24"/>
        </w:rPr>
        <w:t>MRI</w:t>
      </w:r>
      <w:r>
        <w:rPr>
          <w:rFonts w:ascii="Times New Roman" w:hAnsi="Times New Roman" w:cs="Times New Roman"/>
          <w:sz w:val="24"/>
          <w:szCs w:val="24"/>
        </w:rPr>
        <w:tab/>
      </w:r>
      <w:proofErr w:type="gramStart"/>
      <w:r>
        <w:rPr>
          <w:rFonts w:ascii="Times New Roman" w:hAnsi="Times New Roman" w:cs="Times New Roman"/>
          <w:sz w:val="24"/>
          <w:szCs w:val="24"/>
        </w:rPr>
        <w:tab/>
        <w:t xml:space="preserve">  2</w:t>
      </w:r>
      <w:proofErr w:type="gramEnd"/>
      <w:r>
        <w:rPr>
          <w:rFonts w:ascii="Times New Roman" w:hAnsi="Times New Roman" w:cs="Times New Roman"/>
          <w:sz w:val="24"/>
          <w:szCs w:val="24"/>
        </w:rPr>
        <w:t>.429</w:t>
      </w:r>
      <w:r>
        <w:rPr>
          <w:rFonts w:ascii="Times New Roman" w:hAnsi="Times New Roman" w:cs="Times New Roman"/>
          <w:sz w:val="24"/>
          <w:szCs w:val="24"/>
        </w:rPr>
        <w:tab/>
      </w:r>
      <w:r>
        <w:rPr>
          <w:rFonts w:ascii="Times New Roman" w:hAnsi="Times New Roman" w:cs="Times New Roman"/>
          <w:sz w:val="24"/>
          <w:szCs w:val="24"/>
        </w:rPr>
        <w:tab/>
        <w:t xml:space="preserve"> .219</w:t>
      </w:r>
      <w:r>
        <w:rPr>
          <w:rFonts w:ascii="Times New Roman" w:hAnsi="Times New Roman" w:cs="Times New Roman"/>
          <w:sz w:val="24"/>
          <w:szCs w:val="24"/>
        </w:rPr>
        <w:tab/>
      </w:r>
      <w:r>
        <w:rPr>
          <w:rFonts w:ascii="Times New Roman" w:hAnsi="Times New Roman" w:cs="Times New Roman"/>
          <w:sz w:val="24"/>
          <w:szCs w:val="24"/>
        </w:rPr>
        <w:tab/>
        <w:t>11.07</w:t>
      </w:r>
      <w:r>
        <w:rPr>
          <w:rFonts w:ascii="Times New Roman" w:hAnsi="Times New Roman" w:cs="Times New Roman"/>
          <w:sz w:val="24"/>
          <w:szCs w:val="24"/>
        </w:rPr>
        <w:tab/>
        <w:t>.000</w:t>
      </w:r>
      <w:r>
        <w:rPr>
          <w:rFonts w:ascii="Times New Roman" w:hAnsi="Times New Roman" w:cs="Times New Roman"/>
          <w:sz w:val="24"/>
          <w:szCs w:val="24"/>
        </w:rPr>
        <w:tab/>
        <w:t xml:space="preserve">   1.989 to  2.869</w:t>
      </w:r>
    </w:p>
    <w:p w14:paraId="213014CD" w14:textId="436043F7" w:rsidR="005B58D0" w:rsidRDefault="005B58D0" w:rsidP="005B58D0">
      <w:pPr>
        <w:rPr>
          <w:rFonts w:ascii="Times New Roman" w:hAnsi="Times New Roman" w:cs="Times New Roman"/>
          <w:sz w:val="24"/>
          <w:szCs w:val="24"/>
        </w:rPr>
      </w:pPr>
      <w:r>
        <w:rPr>
          <w:rFonts w:ascii="Times New Roman" w:hAnsi="Times New Roman" w:cs="Times New Roman"/>
          <w:sz w:val="24"/>
          <w:szCs w:val="24"/>
        </w:rPr>
        <w:t>Cons</w:t>
      </w:r>
      <w:r>
        <w:rPr>
          <w:rFonts w:ascii="Times New Roman" w:hAnsi="Times New Roman" w:cs="Times New Roman"/>
          <w:sz w:val="24"/>
          <w:szCs w:val="24"/>
        </w:rPr>
        <w:tab/>
      </w:r>
      <w:r>
        <w:rPr>
          <w:rFonts w:ascii="Times New Roman" w:hAnsi="Times New Roman" w:cs="Times New Roman"/>
          <w:sz w:val="24"/>
          <w:szCs w:val="24"/>
        </w:rPr>
        <w:tab/>
        <w:t>70.707</w:t>
      </w:r>
      <w:r>
        <w:rPr>
          <w:rFonts w:ascii="Times New Roman" w:hAnsi="Times New Roman" w:cs="Times New Roman"/>
          <w:sz w:val="24"/>
          <w:szCs w:val="24"/>
        </w:rPr>
        <w:tab/>
      </w:r>
      <w:r>
        <w:rPr>
          <w:rFonts w:ascii="Times New Roman" w:hAnsi="Times New Roman" w:cs="Times New Roman"/>
          <w:sz w:val="24"/>
          <w:szCs w:val="24"/>
        </w:rPr>
        <w:tab/>
        <w:t>2.787</w:t>
      </w:r>
      <w:r>
        <w:rPr>
          <w:rFonts w:ascii="Times New Roman" w:hAnsi="Times New Roman" w:cs="Times New Roman"/>
          <w:sz w:val="24"/>
          <w:szCs w:val="24"/>
        </w:rPr>
        <w:tab/>
      </w:r>
      <w:r>
        <w:rPr>
          <w:rFonts w:ascii="Times New Roman" w:hAnsi="Times New Roman" w:cs="Times New Roman"/>
          <w:sz w:val="24"/>
          <w:szCs w:val="24"/>
        </w:rPr>
        <w:tab/>
        <w:t>25.37</w:t>
      </w:r>
      <w:r>
        <w:rPr>
          <w:rFonts w:ascii="Times New Roman" w:hAnsi="Times New Roman" w:cs="Times New Roman"/>
          <w:sz w:val="24"/>
          <w:szCs w:val="24"/>
        </w:rPr>
        <w:tab/>
        <w:t>.000</w:t>
      </w:r>
      <w:r>
        <w:rPr>
          <w:rFonts w:ascii="Times New Roman" w:hAnsi="Times New Roman" w:cs="Times New Roman"/>
          <w:sz w:val="24"/>
          <w:szCs w:val="24"/>
        </w:rPr>
        <w:tab/>
        <w:t xml:space="preserve"> 65.114 to 76.299</w:t>
      </w:r>
    </w:p>
    <w:p w14:paraId="24B3C7B1" w14:textId="2000883A" w:rsidR="00361B98" w:rsidRDefault="00361B98" w:rsidP="00031A3F">
      <w:pPr>
        <w:rPr>
          <w:rFonts w:ascii="Times New Roman" w:hAnsi="Times New Roman" w:cs="Times New Roman"/>
          <w:sz w:val="24"/>
          <w:szCs w:val="24"/>
        </w:rPr>
      </w:pPr>
    </w:p>
    <w:p w14:paraId="4F76D204" w14:textId="1C63BF18" w:rsidR="00361B98" w:rsidRDefault="00361B98" w:rsidP="00031A3F">
      <w:pPr>
        <w:rPr>
          <w:rFonts w:ascii="Times New Roman" w:hAnsi="Times New Roman" w:cs="Times New Roman"/>
          <w:sz w:val="24"/>
          <w:szCs w:val="24"/>
        </w:rPr>
      </w:pPr>
    </w:p>
    <w:p w14:paraId="39A6B4D1" w14:textId="4B737923" w:rsidR="00361B98" w:rsidRDefault="00361B98" w:rsidP="00031A3F">
      <w:pPr>
        <w:rPr>
          <w:rFonts w:ascii="Times New Roman" w:hAnsi="Times New Roman" w:cs="Times New Roman"/>
          <w:sz w:val="24"/>
          <w:szCs w:val="24"/>
        </w:rPr>
      </w:pPr>
    </w:p>
    <w:p w14:paraId="27FB0AEF" w14:textId="77777777" w:rsidR="00361B98" w:rsidRDefault="00361B98" w:rsidP="00031A3F">
      <w:pPr>
        <w:rPr>
          <w:rFonts w:ascii="Times New Roman" w:hAnsi="Times New Roman" w:cs="Times New Roman"/>
          <w:sz w:val="24"/>
          <w:szCs w:val="24"/>
        </w:rPr>
      </w:pPr>
    </w:p>
    <w:p w14:paraId="0840DD11" w14:textId="77777777" w:rsidR="00111D7D" w:rsidRDefault="00111D7D" w:rsidP="00031A3F">
      <w:pPr>
        <w:rPr>
          <w:rFonts w:ascii="Times New Roman" w:hAnsi="Times New Roman" w:cs="Times New Roman"/>
          <w:sz w:val="24"/>
          <w:szCs w:val="24"/>
        </w:rPr>
      </w:pPr>
    </w:p>
    <w:p w14:paraId="76C6A1D1" w14:textId="77777777" w:rsidR="00111D7D" w:rsidRDefault="00111D7D" w:rsidP="00031A3F">
      <w:pPr>
        <w:rPr>
          <w:rFonts w:ascii="Times New Roman" w:hAnsi="Times New Roman" w:cs="Times New Roman"/>
          <w:sz w:val="24"/>
          <w:szCs w:val="24"/>
        </w:rPr>
      </w:pPr>
    </w:p>
    <w:p w14:paraId="0D4578E2" w14:textId="3865A7F7" w:rsidR="00C26ECE" w:rsidRDefault="00C26ECE" w:rsidP="00031A3F">
      <w:pPr>
        <w:rPr>
          <w:rFonts w:ascii="Times New Roman" w:hAnsi="Times New Roman" w:cs="Times New Roman"/>
          <w:sz w:val="24"/>
          <w:szCs w:val="24"/>
        </w:rPr>
      </w:pPr>
      <w:r>
        <w:rPr>
          <w:rFonts w:ascii="Times New Roman" w:hAnsi="Times New Roman" w:cs="Times New Roman"/>
          <w:sz w:val="24"/>
          <w:szCs w:val="24"/>
        </w:rPr>
        <w:lastRenderedPageBreak/>
        <w:t>To improve any modeling of months remaining inventory and its impact on days on market, recall the fact that generally higher priced markets within the same CBSA require more time to sell.  Here in Exhibit 8, we show this relationship over the entire 57 quarters from 2005 through the first quarter of 2019, broken into price ranges</w:t>
      </w:r>
      <w:r w:rsidR="00B57BB6">
        <w:rPr>
          <w:rFonts w:ascii="Times New Roman" w:hAnsi="Times New Roman" w:cs="Times New Roman"/>
          <w:sz w:val="24"/>
          <w:szCs w:val="24"/>
        </w:rPr>
        <w:t xml:space="preserve"> for San Diego.  This is a typical graph, where the very lowest price tiers (bottom 3%) generally take longer to sell.  Examining the types of listings in this bottom price range and you will find “mobile” homes on leased land sites, and properties with various title defects. Generally, we observe higher MRI and longer time required to sell a home as the price tier increases, the market thins and the properties become more unique.</w:t>
      </w:r>
    </w:p>
    <w:p w14:paraId="2EE9741E" w14:textId="1F5DC14C" w:rsidR="00B57BB6" w:rsidRDefault="00B57BB6" w:rsidP="00031A3F">
      <w:pPr>
        <w:rPr>
          <w:rFonts w:ascii="Times New Roman" w:hAnsi="Times New Roman" w:cs="Times New Roman"/>
          <w:sz w:val="24"/>
          <w:szCs w:val="24"/>
        </w:rPr>
      </w:pPr>
      <w:r>
        <w:rPr>
          <w:rFonts w:ascii="Times New Roman" w:hAnsi="Times New Roman" w:cs="Times New Roman"/>
          <w:sz w:val="24"/>
          <w:szCs w:val="24"/>
        </w:rPr>
        <w:t xml:space="preserve">Exhibit 8: MRI and DOM for Price Tiers Over 2005, </w:t>
      </w:r>
      <w:proofErr w:type="spellStart"/>
      <w:r>
        <w:rPr>
          <w:rFonts w:ascii="Times New Roman" w:hAnsi="Times New Roman" w:cs="Times New Roman"/>
          <w:sz w:val="24"/>
          <w:szCs w:val="24"/>
        </w:rPr>
        <w:t>Qtr</w:t>
      </w:r>
      <w:proofErr w:type="spellEnd"/>
      <w:r>
        <w:rPr>
          <w:rFonts w:ascii="Times New Roman" w:hAnsi="Times New Roman" w:cs="Times New Roman"/>
          <w:sz w:val="24"/>
          <w:szCs w:val="24"/>
        </w:rPr>
        <w:t xml:space="preserve"> through </w:t>
      </w:r>
      <w:proofErr w:type="spellStart"/>
      <w:r>
        <w:rPr>
          <w:rFonts w:ascii="Times New Roman" w:hAnsi="Times New Roman" w:cs="Times New Roman"/>
          <w:sz w:val="24"/>
          <w:szCs w:val="24"/>
        </w:rPr>
        <w:t>Qtr</w:t>
      </w:r>
      <w:proofErr w:type="spellEnd"/>
      <w:r>
        <w:rPr>
          <w:rFonts w:ascii="Times New Roman" w:hAnsi="Times New Roman" w:cs="Times New Roman"/>
          <w:sz w:val="24"/>
          <w:szCs w:val="24"/>
        </w:rPr>
        <w:t xml:space="preserve"> 1, 2019</w:t>
      </w:r>
    </w:p>
    <w:p w14:paraId="6ACD3B0D" w14:textId="7D04391F" w:rsidR="00B57BB6" w:rsidRDefault="00B57BB6" w:rsidP="00031A3F">
      <w:pPr>
        <w:rPr>
          <w:rFonts w:ascii="Times New Roman" w:hAnsi="Times New Roman" w:cs="Times New Roman"/>
          <w:sz w:val="24"/>
          <w:szCs w:val="24"/>
        </w:rPr>
      </w:pPr>
      <w:r>
        <w:rPr>
          <w:noProof/>
        </w:rPr>
        <w:drawing>
          <wp:inline distT="0" distB="0" distL="0" distR="0" wp14:anchorId="26104E67" wp14:editId="23BFD9A9">
            <wp:extent cx="5943600" cy="5314950"/>
            <wp:effectExtent l="0" t="0" r="0" b="0"/>
            <wp:docPr id="10" name="Chart 10">
              <a:extLst xmlns:a="http://schemas.openxmlformats.org/drawingml/2006/main">
                <a:ext uri="{FF2B5EF4-FFF2-40B4-BE49-F238E27FC236}">
                  <a16:creationId xmlns:a16="http://schemas.microsoft.com/office/drawing/2014/main" id="{B363172C-0F9D-4E32-BA64-0BE177F32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5A2DAEB" w14:textId="2BE3D28F" w:rsidR="00B57BB6" w:rsidRDefault="0029518B" w:rsidP="00031A3F">
      <w:pPr>
        <w:rPr>
          <w:rFonts w:ascii="Times New Roman" w:hAnsi="Times New Roman" w:cs="Times New Roman"/>
          <w:sz w:val="24"/>
          <w:szCs w:val="24"/>
        </w:rPr>
      </w:pPr>
      <w:r>
        <w:rPr>
          <w:rFonts w:ascii="Times New Roman" w:hAnsi="Times New Roman" w:cs="Times New Roman"/>
          <w:sz w:val="24"/>
          <w:szCs w:val="24"/>
        </w:rPr>
        <w:t xml:space="preserve">Next we examine three different markets, at the zip code level, over time and within the same CBSA. Note that while the days on market are roughly correlated, there is a consistently longer average time required to sell the higher priced markets.  Here, in Exhibit 9, we show La Mesa, </w:t>
      </w:r>
      <w:r>
        <w:rPr>
          <w:rFonts w:ascii="Times New Roman" w:hAnsi="Times New Roman" w:cs="Times New Roman"/>
          <w:sz w:val="24"/>
          <w:szCs w:val="24"/>
        </w:rPr>
        <w:lastRenderedPageBreak/>
        <w:t xml:space="preserve">more typical of San Diego, with an average price of $532,000 as of first quarter 2019, Del Mar, with an average price of $2.4 million, and Rancho </w:t>
      </w:r>
      <w:proofErr w:type="spellStart"/>
      <w:r>
        <w:rPr>
          <w:rFonts w:ascii="Times New Roman" w:hAnsi="Times New Roman" w:cs="Times New Roman"/>
          <w:sz w:val="24"/>
          <w:szCs w:val="24"/>
        </w:rPr>
        <w:t>Sante</w:t>
      </w:r>
      <w:proofErr w:type="spellEnd"/>
      <w:r>
        <w:rPr>
          <w:rFonts w:ascii="Times New Roman" w:hAnsi="Times New Roman" w:cs="Times New Roman"/>
          <w:sz w:val="24"/>
          <w:szCs w:val="24"/>
        </w:rPr>
        <w:t xml:space="preserve"> Fe where the average price is just over $3 million.  Again, market times show some seasonality, move roughly up and down with general economic conditions and consistently take less time to sell in the more typical and less expensive price tiers.</w:t>
      </w:r>
    </w:p>
    <w:p w14:paraId="0911A0A0" w14:textId="5D44E769" w:rsidR="00B57BB6" w:rsidRDefault="00B57BB6" w:rsidP="00031A3F">
      <w:pPr>
        <w:rPr>
          <w:rFonts w:ascii="Times New Roman" w:hAnsi="Times New Roman" w:cs="Times New Roman"/>
          <w:sz w:val="24"/>
          <w:szCs w:val="24"/>
        </w:rPr>
      </w:pPr>
      <w:r>
        <w:rPr>
          <w:rFonts w:ascii="Times New Roman" w:hAnsi="Times New Roman" w:cs="Times New Roman"/>
          <w:sz w:val="24"/>
          <w:szCs w:val="24"/>
        </w:rPr>
        <w:t xml:space="preserve">Exhibit 9: </w:t>
      </w:r>
      <w:r w:rsidR="0029518B">
        <w:rPr>
          <w:rFonts w:ascii="Times New Roman" w:hAnsi="Times New Roman" w:cs="Times New Roman"/>
          <w:sz w:val="24"/>
          <w:szCs w:val="24"/>
        </w:rPr>
        <w:t>Three Sub-markets Days on Market Over Time</w:t>
      </w:r>
    </w:p>
    <w:p w14:paraId="4ED920F7" w14:textId="7C28DE5A" w:rsidR="00C26ECE" w:rsidRDefault="00C26ECE" w:rsidP="00031A3F">
      <w:pPr>
        <w:rPr>
          <w:rFonts w:ascii="Times New Roman" w:hAnsi="Times New Roman" w:cs="Times New Roman"/>
          <w:sz w:val="24"/>
          <w:szCs w:val="24"/>
        </w:rPr>
      </w:pPr>
      <w:r>
        <w:rPr>
          <w:noProof/>
        </w:rPr>
        <w:drawing>
          <wp:inline distT="0" distB="0" distL="0" distR="0" wp14:anchorId="410CECFD" wp14:editId="6C5BF81B">
            <wp:extent cx="5943600" cy="44850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85005"/>
                    </a:xfrm>
                    <a:prstGeom prst="rect">
                      <a:avLst/>
                    </a:prstGeom>
                    <a:noFill/>
                    <a:ln>
                      <a:noFill/>
                    </a:ln>
                  </pic:spPr>
                </pic:pic>
              </a:graphicData>
            </a:graphic>
          </wp:inline>
        </w:drawing>
      </w:r>
    </w:p>
    <w:p w14:paraId="790B317E" w14:textId="3D769BF2" w:rsidR="00C26ECE" w:rsidRDefault="00C26ECE" w:rsidP="00031A3F">
      <w:pPr>
        <w:rPr>
          <w:rFonts w:ascii="Times New Roman" w:hAnsi="Times New Roman" w:cs="Times New Roman"/>
          <w:sz w:val="24"/>
          <w:szCs w:val="24"/>
        </w:rPr>
      </w:pPr>
    </w:p>
    <w:p w14:paraId="0A495F6B" w14:textId="220E3EED" w:rsidR="00C26ECE" w:rsidRDefault="00C26ECE" w:rsidP="00031A3F">
      <w:pPr>
        <w:rPr>
          <w:rFonts w:ascii="Times New Roman" w:hAnsi="Times New Roman" w:cs="Times New Roman"/>
          <w:sz w:val="24"/>
          <w:szCs w:val="24"/>
        </w:rPr>
      </w:pPr>
    </w:p>
    <w:p w14:paraId="7542E117" w14:textId="21C21E8D" w:rsidR="00C26ECE" w:rsidRDefault="00C26ECE" w:rsidP="00031A3F">
      <w:pPr>
        <w:rPr>
          <w:rFonts w:ascii="Times New Roman" w:hAnsi="Times New Roman" w:cs="Times New Roman"/>
          <w:sz w:val="24"/>
          <w:szCs w:val="24"/>
        </w:rPr>
      </w:pPr>
    </w:p>
    <w:p w14:paraId="2F1ACFFB" w14:textId="32A991F9" w:rsidR="00C26ECE" w:rsidRDefault="00C26ECE" w:rsidP="00031A3F">
      <w:pPr>
        <w:rPr>
          <w:rFonts w:ascii="Times New Roman" w:hAnsi="Times New Roman" w:cs="Times New Roman"/>
          <w:sz w:val="24"/>
          <w:szCs w:val="24"/>
        </w:rPr>
      </w:pPr>
    </w:p>
    <w:p w14:paraId="2E51C35E" w14:textId="11C0B2AF" w:rsidR="00C26ECE" w:rsidRDefault="00C26ECE" w:rsidP="00031A3F">
      <w:pPr>
        <w:rPr>
          <w:rFonts w:ascii="Times New Roman" w:hAnsi="Times New Roman" w:cs="Times New Roman"/>
          <w:sz w:val="24"/>
          <w:szCs w:val="24"/>
        </w:rPr>
      </w:pPr>
    </w:p>
    <w:p w14:paraId="2893ACA2" w14:textId="44527A26" w:rsidR="00C26ECE" w:rsidRDefault="00C26ECE" w:rsidP="00031A3F">
      <w:pPr>
        <w:rPr>
          <w:rFonts w:ascii="Times New Roman" w:hAnsi="Times New Roman" w:cs="Times New Roman"/>
          <w:sz w:val="24"/>
          <w:szCs w:val="24"/>
        </w:rPr>
      </w:pPr>
    </w:p>
    <w:p w14:paraId="2B24DF98" w14:textId="40A29140" w:rsidR="00C26ECE" w:rsidRDefault="00C26ECE" w:rsidP="00031A3F">
      <w:pPr>
        <w:rPr>
          <w:rFonts w:ascii="Times New Roman" w:hAnsi="Times New Roman" w:cs="Times New Roman"/>
          <w:sz w:val="24"/>
          <w:szCs w:val="24"/>
        </w:rPr>
      </w:pPr>
    </w:p>
    <w:p w14:paraId="37AB2595" w14:textId="3BCD9D18" w:rsidR="00C26ECE" w:rsidRDefault="00C26ECE" w:rsidP="00031A3F">
      <w:pPr>
        <w:rPr>
          <w:rFonts w:ascii="Times New Roman" w:hAnsi="Times New Roman" w:cs="Times New Roman"/>
          <w:sz w:val="24"/>
          <w:szCs w:val="24"/>
        </w:rPr>
      </w:pPr>
    </w:p>
    <w:p w14:paraId="4B28E176" w14:textId="252A7E10" w:rsidR="00610EC8" w:rsidRDefault="007E3430" w:rsidP="00031A3F">
      <w:pPr>
        <w:rPr>
          <w:rFonts w:ascii="Times New Roman" w:hAnsi="Times New Roman" w:cs="Times New Roman"/>
          <w:sz w:val="24"/>
          <w:szCs w:val="24"/>
        </w:rPr>
      </w:pPr>
      <w:r>
        <w:rPr>
          <w:rFonts w:ascii="Times New Roman" w:hAnsi="Times New Roman" w:cs="Times New Roman"/>
          <w:sz w:val="24"/>
          <w:szCs w:val="24"/>
        </w:rPr>
        <w:lastRenderedPageBreak/>
        <w:t>In Exhibit</w:t>
      </w:r>
      <w:r w:rsidR="005B58D0">
        <w:rPr>
          <w:rFonts w:ascii="Times New Roman" w:hAnsi="Times New Roman" w:cs="Times New Roman"/>
          <w:sz w:val="24"/>
          <w:szCs w:val="24"/>
        </w:rPr>
        <w:t xml:space="preserve"> </w:t>
      </w:r>
      <w:r w:rsidR="00A53DE9">
        <w:rPr>
          <w:rFonts w:ascii="Times New Roman" w:hAnsi="Times New Roman" w:cs="Times New Roman"/>
          <w:sz w:val="24"/>
          <w:szCs w:val="24"/>
        </w:rPr>
        <w:t>10</w:t>
      </w:r>
      <w:r w:rsidR="005B58D0">
        <w:rPr>
          <w:rFonts w:ascii="Times New Roman" w:hAnsi="Times New Roman" w:cs="Times New Roman"/>
          <w:sz w:val="24"/>
          <w:szCs w:val="24"/>
        </w:rPr>
        <w:t xml:space="preserve"> </w:t>
      </w:r>
      <w:r>
        <w:rPr>
          <w:rFonts w:ascii="Times New Roman" w:hAnsi="Times New Roman" w:cs="Times New Roman"/>
          <w:sz w:val="24"/>
          <w:szCs w:val="24"/>
        </w:rPr>
        <w:t xml:space="preserve">below we show the results of </w:t>
      </w:r>
      <w:r w:rsidR="005848D7">
        <w:rPr>
          <w:rFonts w:ascii="Times New Roman" w:hAnsi="Times New Roman" w:cs="Times New Roman"/>
          <w:sz w:val="24"/>
          <w:szCs w:val="24"/>
        </w:rPr>
        <w:t xml:space="preserve">modeling days on market for all CBSAs both with nominal variables and </w:t>
      </w:r>
      <w:r w:rsidR="00A53DE9">
        <w:rPr>
          <w:rFonts w:ascii="Times New Roman" w:hAnsi="Times New Roman" w:cs="Times New Roman"/>
          <w:sz w:val="24"/>
          <w:szCs w:val="24"/>
        </w:rPr>
        <w:t>dummies as appropriate</w:t>
      </w:r>
      <w:r w:rsidR="005848D7">
        <w:rPr>
          <w:rFonts w:ascii="Times New Roman" w:hAnsi="Times New Roman" w:cs="Times New Roman"/>
          <w:sz w:val="24"/>
          <w:szCs w:val="24"/>
        </w:rPr>
        <w:t xml:space="preserve">. All the variables </w:t>
      </w:r>
      <w:r w:rsidR="00A53DE9">
        <w:rPr>
          <w:rFonts w:ascii="Times New Roman" w:hAnsi="Times New Roman" w:cs="Times New Roman"/>
          <w:sz w:val="24"/>
          <w:szCs w:val="24"/>
        </w:rPr>
        <w:t xml:space="preserve">shown </w:t>
      </w:r>
      <w:r w:rsidR="005848D7">
        <w:rPr>
          <w:rFonts w:ascii="Times New Roman" w:hAnsi="Times New Roman" w:cs="Times New Roman"/>
          <w:sz w:val="24"/>
          <w:szCs w:val="24"/>
        </w:rPr>
        <w:t xml:space="preserve">are significant. </w:t>
      </w:r>
      <w:r w:rsidR="0071690F">
        <w:rPr>
          <w:rFonts w:ascii="Times New Roman" w:hAnsi="Times New Roman" w:cs="Times New Roman"/>
          <w:sz w:val="24"/>
          <w:szCs w:val="24"/>
        </w:rPr>
        <w:t xml:space="preserve">There was very little time trend as reflected by the date or quarter variable. </w:t>
      </w:r>
      <w:r w:rsidR="005848D7">
        <w:rPr>
          <w:rFonts w:ascii="Times New Roman" w:hAnsi="Times New Roman" w:cs="Times New Roman"/>
          <w:sz w:val="24"/>
          <w:szCs w:val="24"/>
        </w:rPr>
        <w:t>Overall the R squared results are significant</w:t>
      </w:r>
      <w:r w:rsidR="00007115">
        <w:rPr>
          <w:rFonts w:ascii="Times New Roman" w:hAnsi="Times New Roman" w:cs="Times New Roman"/>
          <w:sz w:val="24"/>
          <w:szCs w:val="24"/>
        </w:rPr>
        <w:t>.</w:t>
      </w:r>
    </w:p>
    <w:p w14:paraId="2DD0FB76" w14:textId="5E52810F" w:rsidR="005848D7" w:rsidRDefault="005848D7" w:rsidP="00031A3F">
      <w:pPr>
        <w:rPr>
          <w:rFonts w:ascii="Times New Roman" w:hAnsi="Times New Roman" w:cs="Times New Roman"/>
          <w:sz w:val="24"/>
          <w:szCs w:val="24"/>
        </w:rPr>
      </w:pPr>
      <w:r>
        <w:rPr>
          <w:rFonts w:ascii="Times New Roman" w:hAnsi="Times New Roman" w:cs="Times New Roman"/>
          <w:sz w:val="24"/>
          <w:szCs w:val="24"/>
        </w:rPr>
        <w:t>From these results</w:t>
      </w:r>
      <w:r w:rsidR="00007115">
        <w:rPr>
          <w:rFonts w:ascii="Times New Roman" w:hAnsi="Times New Roman" w:cs="Times New Roman"/>
          <w:sz w:val="24"/>
          <w:szCs w:val="24"/>
        </w:rPr>
        <w:t xml:space="preserve"> and individual market tests, not shown,</w:t>
      </w:r>
      <w:r>
        <w:rPr>
          <w:rFonts w:ascii="Times New Roman" w:hAnsi="Times New Roman" w:cs="Times New Roman"/>
          <w:sz w:val="24"/>
          <w:szCs w:val="24"/>
        </w:rPr>
        <w:t xml:space="preserve"> we can surmise the following: </w:t>
      </w:r>
    </w:p>
    <w:p w14:paraId="04BF4D56" w14:textId="14A4EFE0" w:rsidR="005848D7" w:rsidRDefault="005848D7" w:rsidP="00031A3F">
      <w:pPr>
        <w:rPr>
          <w:rFonts w:ascii="Times New Roman" w:hAnsi="Times New Roman" w:cs="Times New Roman"/>
          <w:sz w:val="24"/>
          <w:szCs w:val="24"/>
        </w:rPr>
      </w:pPr>
      <w:r>
        <w:rPr>
          <w:rFonts w:ascii="Times New Roman" w:hAnsi="Times New Roman" w:cs="Times New Roman"/>
          <w:sz w:val="24"/>
          <w:szCs w:val="24"/>
        </w:rPr>
        <w:t>Seasonality matters a great deal in terms of DOM estimates, as expected.</w:t>
      </w:r>
    </w:p>
    <w:p w14:paraId="169322DE" w14:textId="545CCB1A" w:rsidR="005848D7" w:rsidRDefault="005848D7" w:rsidP="00031A3F">
      <w:pPr>
        <w:rPr>
          <w:rFonts w:ascii="Times New Roman" w:hAnsi="Times New Roman" w:cs="Times New Roman"/>
          <w:sz w:val="24"/>
          <w:szCs w:val="24"/>
        </w:rPr>
      </w:pPr>
      <w:r>
        <w:rPr>
          <w:rFonts w:ascii="Times New Roman" w:hAnsi="Times New Roman" w:cs="Times New Roman"/>
          <w:sz w:val="24"/>
          <w:szCs w:val="24"/>
        </w:rPr>
        <w:t xml:space="preserve">MRI matters and </w:t>
      </w:r>
      <w:r w:rsidR="00DB37C5">
        <w:rPr>
          <w:rFonts w:ascii="Times New Roman" w:hAnsi="Times New Roman" w:cs="Times New Roman"/>
          <w:sz w:val="24"/>
          <w:szCs w:val="24"/>
        </w:rPr>
        <w:t xml:space="preserve">a </w:t>
      </w:r>
      <w:r>
        <w:rPr>
          <w:rFonts w:ascii="Times New Roman" w:hAnsi="Times New Roman" w:cs="Times New Roman"/>
          <w:sz w:val="24"/>
          <w:szCs w:val="24"/>
        </w:rPr>
        <w:t>higher MRI will imply higher DOM</w:t>
      </w:r>
      <w:r w:rsidR="00DB37C5">
        <w:rPr>
          <w:rFonts w:ascii="Times New Roman" w:hAnsi="Times New Roman" w:cs="Times New Roman"/>
          <w:sz w:val="24"/>
          <w:szCs w:val="24"/>
        </w:rPr>
        <w:t xml:space="preserve"> although at a decreasing rate.  We should point out that unobserved data distorts the estimate in that listings which do not sell in high MRI markets, will not be reflected as a longer DOM although that is essentially the reality.  </w:t>
      </w:r>
    </w:p>
    <w:p w14:paraId="24F0F63A" w14:textId="1668B06F" w:rsidR="005848D7" w:rsidRDefault="005848D7" w:rsidP="00031A3F">
      <w:pPr>
        <w:rPr>
          <w:rFonts w:ascii="Times New Roman" w:hAnsi="Times New Roman" w:cs="Times New Roman"/>
          <w:sz w:val="24"/>
          <w:szCs w:val="24"/>
        </w:rPr>
      </w:pPr>
      <w:r>
        <w:rPr>
          <w:rFonts w:ascii="Times New Roman" w:hAnsi="Times New Roman" w:cs="Times New Roman"/>
          <w:sz w:val="24"/>
          <w:szCs w:val="24"/>
        </w:rPr>
        <w:t>The lower the asking price relative to size or value the faster will be the sale.  Bidding war effects are not picked up here and seem to work only in strong or hot markets.</w:t>
      </w:r>
    </w:p>
    <w:p w14:paraId="51BF7187" w14:textId="77777777" w:rsidR="00007115" w:rsidRDefault="00007115" w:rsidP="00007115">
      <w:pPr>
        <w:rPr>
          <w:rFonts w:ascii="Times New Roman" w:hAnsi="Times New Roman" w:cs="Times New Roman"/>
          <w:sz w:val="24"/>
          <w:szCs w:val="24"/>
        </w:rPr>
      </w:pPr>
      <w:r>
        <w:rPr>
          <w:rFonts w:ascii="Times New Roman" w:hAnsi="Times New Roman" w:cs="Times New Roman"/>
          <w:sz w:val="24"/>
          <w:szCs w:val="24"/>
        </w:rPr>
        <w:t>The CBSA in which a home is sold matters as there is a systematic difference from one CBSA to another not picked up by market conditions. Overall models work best when applied at the local CBSA level with only that data.</w:t>
      </w:r>
    </w:p>
    <w:p w14:paraId="4945499F" w14:textId="3260F9BB" w:rsidR="005848D7" w:rsidRDefault="005848D7" w:rsidP="00031A3F">
      <w:pPr>
        <w:rPr>
          <w:rFonts w:ascii="Times New Roman" w:hAnsi="Times New Roman" w:cs="Times New Roman"/>
          <w:sz w:val="24"/>
          <w:szCs w:val="24"/>
        </w:rPr>
      </w:pPr>
      <w:r>
        <w:rPr>
          <w:rFonts w:ascii="Times New Roman" w:hAnsi="Times New Roman" w:cs="Times New Roman"/>
          <w:sz w:val="24"/>
          <w:szCs w:val="24"/>
        </w:rPr>
        <w:t xml:space="preserve">Higher priced markets do not require more time on the market. The effects observed for individual markets, where higher priced listings take longer to sell on average, do not hold for inter-CBSA comparisons.  That is, it is the relative price of the home that matters and the highest price tiers within a given CBSA take longer to sell, but </w:t>
      </w:r>
      <w:r w:rsidR="0071690F">
        <w:rPr>
          <w:rFonts w:ascii="Times New Roman" w:hAnsi="Times New Roman" w:cs="Times New Roman"/>
          <w:sz w:val="24"/>
          <w:szCs w:val="24"/>
        </w:rPr>
        <w:t xml:space="preserve">this does not hold </w:t>
      </w:r>
      <w:r w:rsidR="00B721FB">
        <w:rPr>
          <w:rFonts w:ascii="Times New Roman" w:hAnsi="Times New Roman" w:cs="Times New Roman"/>
          <w:sz w:val="24"/>
          <w:szCs w:val="24"/>
        </w:rPr>
        <w:t xml:space="preserve">using absolute prices </w:t>
      </w:r>
      <w:r w:rsidR="0071690F">
        <w:rPr>
          <w:rFonts w:ascii="Times New Roman" w:hAnsi="Times New Roman" w:cs="Times New Roman"/>
          <w:sz w:val="24"/>
          <w:szCs w:val="24"/>
        </w:rPr>
        <w:t>for higher priced CBSAs.  Higher average priced CBSA do not take longer to sell</w:t>
      </w:r>
      <w:r w:rsidR="00B721FB">
        <w:rPr>
          <w:rFonts w:ascii="Times New Roman" w:hAnsi="Times New Roman" w:cs="Times New Roman"/>
          <w:sz w:val="24"/>
          <w:szCs w:val="24"/>
        </w:rPr>
        <w:t>, but the highest priced units within the CBSA will take longer to sell, possibly and among other reasons, because that is where the new inventory is inserted into the market</w:t>
      </w:r>
      <w:r w:rsidR="0071690F">
        <w:rPr>
          <w:rFonts w:ascii="Times New Roman" w:hAnsi="Times New Roman" w:cs="Times New Roman"/>
          <w:sz w:val="24"/>
          <w:szCs w:val="24"/>
        </w:rPr>
        <w:t>.</w:t>
      </w:r>
    </w:p>
    <w:p w14:paraId="76244FE3" w14:textId="6C65EC77" w:rsidR="005848D7" w:rsidRDefault="0071690F" w:rsidP="00031A3F">
      <w:pPr>
        <w:rPr>
          <w:rFonts w:ascii="Times New Roman" w:hAnsi="Times New Roman" w:cs="Times New Roman"/>
          <w:sz w:val="24"/>
          <w:szCs w:val="24"/>
        </w:rPr>
      </w:pPr>
      <w:r>
        <w:rPr>
          <w:rFonts w:ascii="Times New Roman" w:hAnsi="Times New Roman" w:cs="Times New Roman"/>
          <w:sz w:val="24"/>
          <w:szCs w:val="24"/>
        </w:rPr>
        <w:t>Market conditions matter a great deal and homes sell slower in weak and soft markets and fast in strong or hot markets, but this result is similar to the one we get with using MRI alone.</w:t>
      </w:r>
    </w:p>
    <w:p w14:paraId="783CA08D" w14:textId="7130DEEF" w:rsidR="0071690F" w:rsidRDefault="0071690F">
      <w:pPr>
        <w:rPr>
          <w:rFonts w:ascii="Times New Roman" w:eastAsiaTheme="minorEastAsia" w:hAnsi="Times New Roman" w:cs="Times New Roman"/>
          <w:sz w:val="24"/>
          <w:szCs w:val="24"/>
          <w:lang w:eastAsia="ko-KR"/>
        </w:rPr>
      </w:pPr>
      <w:r>
        <w:rPr>
          <w:rFonts w:ascii="Times New Roman" w:hAnsi="Times New Roman" w:cs="Times New Roman"/>
          <w:sz w:val="24"/>
          <w:szCs w:val="24"/>
        </w:rPr>
        <w:t xml:space="preserve">A linear regression seemed to work as well or better as the non-linear form, </w:t>
      </w:r>
      <w:r w:rsidR="00B721FB">
        <w:rPr>
          <w:rFonts w:ascii="Times New Roman" w:hAnsi="Times New Roman" w:cs="Times New Roman"/>
          <w:sz w:val="24"/>
          <w:szCs w:val="24"/>
        </w:rPr>
        <w:t xml:space="preserve">only the linear form shown below in </w:t>
      </w:r>
      <w:r>
        <w:rPr>
          <w:rFonts w:ascii="Times New Roman" w:hAnsi="Times New Roman" w:cs="Times New Roman"/>
          <w:sz w:val="24"/>
          <w:szCs w:val="24"/>
        </w:rPr>
        <w:t xml:space="preserve">Exhibit </w:t>
      </w:r>
      <w:r w:rsidR="00A53DE9">
        <w:rPr>
          <w:rFonts w:ascii="Times New Roman" w:hAnsi="Times New Roman" w:cs="Times New Roman"/>
          <w:sz w:val="24"/>
          <w:szCs w:val="24"/>
        </w:rPr>
        <w:t>10 although squaring MRI worked slightly better than using only MRI.</w:t>
      </w:r>
      <w:r>
        <w:rPr>
          <w:rFonts w:ascii="Times New Roman" w:hAnsi="Times New Roman" w:cs="Times New Roman"/>
          <w:sz w:val="24"/>
          <w:szCs w:val="24"/>
        </w:rPr>
        <w:t xml:space="preserve">  </w:t>
      </w:r>
    </w:p>
    <w:p w14:paraId="13C119A9" w14:textId="77777777" w:rsidR="002B4001" w:rsidRDefault="002B4001">
      <w:pPr>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br w:type="page"/>
      </w:r>
    </w:p>
    <w:p w14:paraId="5766336C" w14:textId="4572CC1E" w:rsidR="007E3430" w:rsidRPr="007E3430" w:rsidRDefault="007E3430" w:rsidP="007E3430">
      <w:pPr>
        <w:spacing w:after="200" w:line="480" w:lineRule="auto"/>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lastRenderedPageBreak/>
        <w:t xml:space="preserve">Exhibit </w:t>
      </w:r>
      <w:r w:rsidR="00A53DE9">
        <w:rPr>
          <w:rFonts w:ascii="Times New Roman" w:eastAsiaTheme="minorEastAsia" w:hAnsi="Times New Roman" w:cs="Times New Roman"/>
          <w:sz w:val="24"/>
          <w:szCs w:val="24"/>
          <w:lang w:eastAsia="ko-KR"/>
        </w:rPr>
        <w:t>10</w:t>
      </w:r>
      <w:r>
        <w:rPr>
          <w:rFonts w:ascii="Times New Roman" w:eastAsiaTheme="minorEastAsia" w:hAnsi="Times New Roman" w:cs="Times New Roman"/>
          <w:sz w:val="24"/>
          <w:szCs w:val="24"/>
          <w:lang w:eastAsia="ko-KR"/>
        </w:rPr>
        <w:t xml:space="preserve">: </w:t>
      </w:r>
      <w:r w:rsidRPr="007E3430">
        <w:rPr>
          <w:rFonts w:ascii="Times New Roman" w:eastAsiaTheme="minorEastAsia" w:hAnsi="Times New Roman" w:cs="Times New Roman"/>
          <w:sz w:val="24"/>
          <w:szCs w:val="24"/>
          <w:lang w:eastAsia="ko-KR"/>
        </w:rPr>
        <w:t>Linear Regression Results</w:t>
      </w:r>
      <w:r w:rsidR="005848D7" w:rsidRPr="005848D7">
        <w:rPr>
          <w:rFonts w:ascii="Times New Roman" w:eastAsiaTheme="minorEastAsia" w:hAnsi="Times New Roman" w:cs="Times New Roman"/>
          <w:sz w:val="24"/>
          <w:szCs w:val="24"/>
          <w:lang w:eastAsia="ko-KR"/>
        </w:rPr>
        <w:t xml:space="preserve"> </w:t>
      </w:r>
      <w:r w:rsidR="005848D7">
        <w:rPr>
          <w:rFonts w:ascii="Times New Roman" w:eastAsiaTheme="minorEastAsia" w:hAnsi="Times New Roman" w:cs="Times New Roman"/>
          <w:sz w:val="24"/>
          <w:szCs w:val="24"/>
          <w:lang w:eastAsia="ko-KR"/>
        </w:rPr>
        <w:t>with the d</w:t>
      </w:r>
      <w:r w:rsidR="005848D7" w:rsidRPr="007E3430">
        <w:rPr>
          <w:rFonts w:ascii="Times New Roman" w:eastAsiaTheme="minorEastAsia" w:hAnsi="Times New Roman" w:cs="Times New Roman"/>
          <w:sz w:val="24"/>
          <w:szCs w:val="24"/>
          <w:lang w:eastAsia="ko-KR"/>
        </w:rPr>
        <w:t xml:space="preserve">ependent </w:t>
      </w:r>
      <w:r w:rsidR="005848D7">
        <w:rPr>
          <w:rFonts w:ascii="Times New Roman" w:eastAsiaTheme="minorEastAsia" w:hAnsi="Times New Roman" w:cs="Times New Roman"/>
          <w:sz w:val="24"/>
          <w:szCs w:val="24"/>
          <w:lang w:eastAsia="ko-KR"/>
        </w:rPr>
        <w:t>v</w:t>
      </w:r>
      <w:r w:rsidR="005848D7" w:rsidRPr="007E3430">
        <w:rPr>
          <w:rFonts w:ascii="Times New Roman" w:eastAsiaTheme="minorEastAsia" w:hAnsi="Times New Roman" w:cs="Times New Roman"/>
          <w:sz w:val="24"/>
          <w:szCs w:val="24"/>
          <w:lang w:eastAsia="ko-KR"/>
        </w:rPr>
        <w:t>ariable: Sold DOM</w:t>
      </w:r>
    </w:p>
    <w:tbl>
      <w:tblPr>
        <w:tblW w:w="78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2448"/>
        <w:gridCol w:w="1331"/>
        <w:gridCol w:w="1331"/>
        <w:gridCol w:w="1025"/>
        <w:gridCol w:w="1025"/>
      </w:tblGrid>
      <w:tr w:rsidR="00515CAD" w:rsidRPr="007E3430" w14:paraId="22D2905A" w14:textId="77777777" w:rsidTr="00515CAD">
        <w:trPr>
          <w:cantSplit/>
        </w:trPr>
        <w:tc>
          <w:tcPr>
            <w:tcW w:w="3183" w:type="dxa"/>
            <w:gridSpan w:val="2"/>
            <w:vMerge w:val="restart"/>
            <w:tcBorders>
              <w:top w:val="single" w:sz="4" w:space="0" w:color="auto"/>
              <w:left w:val="nil"/>
              <w:bottom w:val="nil"/>
              <w:right w:val="nil"/>
            </w:tcBorders>
            <w:shd w:val="clear" w:color="auto" w:fill="FFFFFF"/>
            <w:vAlign w:val="bottom"/>
          </w:tcPr>
          <w:p w14:paraId="06CF91E0"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Model</w:t>
            </w:r>
          </w:p>
        </w:tc>
        <w:tc>
          <w:tcPr>
            <w:tcW w:w="2662" w:type="dxa"/>
            <w:gridSpan w:val="2"/>
            <w:tcBorders>
              <w:top w:val="single" w:sz="4" w:space="0" w:color="auto"/>
              <w:left w:val="nil"/>
              <w:bottom w:val="nil"/>
              <w:right w:val="single" w:sz="8" w:space="0" w:color="E0E0E0"/>
            </w:tcBorders>
            <w:shd w:val="clear" w:color="auto" w:fill="FFFFFF"/>
            <w:vAlign w:val="bottom"/>
          </w:tcPr>
          <w:p w14:paraId="641BF778" w14:textId="0EF702F5" w:rsidR="00515CAD" w:rsidRPr="007E3430" w:rsidRDefault="00515CAD"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Coefficients</w:t>
            </w:r>
          </w:p>
        </w:tc>
        <w:tc>
          <w:tcPr>
            <w:tcW w:w="1025" w:type="dxa"/>
            <w:vMerge w:val="restart"/>
            <w:tcBorders>
              <w:top w:val="single" w:sz="4" w:space="0" w:color="auto"/>
              <w:left w:val="single" w:sz="8" w:space="0" w:color="E0E0E0"/>
              <w:bottom w:val="nil"/>
              <w:right w:val="single" w:sz="8" w:space="0" w:color="E0E0E0"/>
            </w:tcBorders>
            <w:shd w:val="clear" w:color="auto" w:fill="FFFFFF"/>
            <w:vAlign w:val="bottom"/>
          </w:tcPr>
          <w:p w14:paraId="139A68D7" w14:textId="77777777" w:rsidR="00515CAD" w:rsidRPr="007E3430" w:rsidRDefault="00515CAD"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t</w:t>
            </w:r>
          </w:p>
        </w:tc>
        <w:tc>
          <w:tcPr>
            <w:tcW w:w="1025" w:type="dxa"/>
            <w:vMerge w:val="restart"/>
            <w:tcBorders>
              <w:top w:val="single" w:sz="4" w:space="0" w:color="auto"/>
              <w:left w:val="single" w:sz="8" w:space="0" w:color="E0E0E0"/>
              <w:bottom w:val="nil"/>
              <w:right w:val="nil"/>
            </w:tcBorders>
            <w:shd w:val="clear" w:color="auto" w:fill="FFFFFF"/>
            <w:vAlign w:val="bottom"/>
          </w:tcPr>
          <w:p w14:paraId="25B4C411" w14:textId="77777777" w:rsidR="00515CAD" w:rsidRPr="007E3430" w:rsidRDefault="00515CAD"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Sig.</w:t>
            </w:r>
          </w:p>
        </w:tc>
      </w:tr>
      <w:tr w:rsidR="00515CAD" w:rsidRPr="007E3430" w14:paraId="7A5C16FA" w14:textId="77777777" w:rsidTr="00515CAD">
        <w:trPr>
          <w:cantSplit/>
        </w:trPr>
        <w:tc>
          <w:tcPr>
            <w:tcW w:w="3183" w:type="dxa"/>
            <w:gridSpan w:val="2"/>
            <w:vMerge/>
            <w:tcBorders>
              <w:top w:val="nil"/>
              <w:left w:val="nil"/>
              <w:bottom w:val="nil"/>
              <w:right w:val="nil"/>
            </w:tcBorders>
            <w:shd w:val="clear" w:color="auto" w:fill="FFFFFF"/>
            <w:vAlign w:val="bottom"/>
          </w:tcPr>
          <w:p w14:paraId="02F88DD0"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1331" w:type="dxa"/>
            <w:tcBorders>
              <w:top w:val="nil"/>
              <w:left w:val="nil"/>
              <w:bottom w:val="single" w:sz="8" w:space="0" w:color="152935"/>
              <w:right w:val="single" w:sz="8" w:space="0" w:color="E0E0E0"/>
            </w:tcBorders>
            <w:shd w:val="clear" w:color="auto" w:fill="FFFFFF"/>
            <w:vAlign w:val="bottom"/>
          </w:tcPr>
          <w:p w14:paraId="1465121F" w14:textId="438B2231" w:rsidR="00515CAD" w:rsidRPr="007E3430" w:rsidRDefault="00515CAD"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B</w:t>
            </w:r>
            <w:r>
              <w:rPr>
                <w:rFonts w:ascii="Times New Roman" w:eastAsiaTheme="minorEastAsia" w:hAnsi="Times New Roman" w:cs="Times New Roman"/>
                <w:sz w:val="24"/>
                <w:szCs w:val="24"/>
                <w:lang w:eastAsia="ko-KR"/>
              </w:rPr>
              <w:t>eta</w:t>
            </w:r>
          </w:p>
        </w:tc>
        <w:tc>
          <w:tcPr>
            <w:tcW w:w="1331" w:type="dxa"/>
            <w:tcBorders>
              <w:top w:val="nil"/>
              <w:left w:val="single" w:sz="8" w:space="0" w:color="E0E0E0"/>
              <w:bottom w:val="single" w:sz="8" w:space="0" w:color="152935"/>
              <w:right w:val="single" w:sz="8" w:space="0" w:color="E0E0E0"/>
            </w:tcBorders>
            <w:shd w:val="clear" w:color="auto" w:fill="FFFFFF"/>
            <w:vAlign w:val="bottom"/>
          </w:tcPr>
          <w:p w14:paraId="0474F387" w14:textId="77777777" w:rsidR="00515CAD" w:rsidRPr="007E3430" w:rsidRDefault="00515CAD"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Std. Error</w:t>
            </w:r>
          </w:p>
        </w:tc>
        <w:tc>
          <w:tcPr>
            <w:tcW w:w="1025" w:type="dxa"/>
            <w:vMerge/>
            <w:tcBorders>
              <w:top w:val="nil"/>
              <w:left w:val="single" w:sz="8" w:space="0" w:color="E0E0E0"/>
              <w:bottom w:val="nil"/>
              <w:right w:val="single" w:sz="8" w:space="0" w:color="E0E0E0"/>
            </w:tcBorders>
            <w:shd w:val="clear" w:color="auto" w:fill="FFFFFF"/>
            <w:vAlign w:val="bottom"/>
          </w:tcPr>
          <w:p w14:paraId="7E123C12"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1025" w:type="dxa"/>
            <w:vMerge/>
            <w:tcBorders>
              <w:top w:val="nil"/>
              <w:left w:val="single" w:sz="8" w:space="0" w:color="E0E0E0"/>
              <w:bottom w:val="nil"/>
              <w:right w:val="nil"/>
            </w:tcBorders>
            <w:shd w:val="clear" w:color="auto" w:fill="FFFFFF"/>
            <w:vAlign w:val="bottom"/>
          </w:tcPr>
          <w:p w14:paraId="1C977B26"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r>
      <w:tr w:rsidR="00515CAD" w:rsidRPr="007E3430" w14:paraId="4893C579" w14:textId="77777777" w:rsidTr="00515CAD">
        <w:trPr>
          <w:cantSplit/>
        </w:trPr>
        <w:tc>
          <w:tcPr>
            <w:tcW w:w="735" w:type="dxa"/>
            <w:vMerge w:val="restart"/>
            <w:tcBorders>
              <w:top w:val="single" w:sz="8" w:space="0" w:color="152935"/>
              <w:left w:val="nil"/>
              <w:bottom w:val="single" w:sz="8" w:space="0" w:color="152935"/>
              <w:right w:val="nil"/>
            </w:tcBorders>
            <w:shd w:val="clear" w:color="auto" w:fill="E0E0E0"/>
          </w:tcPr>
          <w:p w14:paraId="39EA5B2C" w14:textId="1673BAE5"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p>
        </w:tc>
        <w:tc>
          <w:tcPr>
            <w:tcW w:w="2448" w:type="dxa"/>
            <w:tcBorders>
              <w:top w:val="single" w:sz="8" w:space="0" w:color="152935"/>
              <w:left w:val="nil"/>
              <w:bottom w:val="single" w:sz="8" w:space="0" w:color="AEAEAE"/>
              <w:right w:val="nil"/>
            </w:tcBorders>
            <w:shd w:val="clear" w:color="auto" w:fill="E0E0E0"/>
          </w:tcPr>
          <w:p w14:paraId="6EB8859E"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(Constant)</w:t>
            </w:r>
          </w:p>
        </w:tc>
        <w:tc>
          <w:tcPr>
            <w:tcW w:w="1331" w:type="dxa"/>
            <w:tcBorders>
              <w:top w:val="single" w:sz="8" w:space="0" w:color="152935"/>
              <w:left w:val="nil"/>
              <w:bottom w:val="single" w:sz="8" w:space="0" w:color="AEAEAE"/>
              <w:right w:val="single" w:sz="8" w:space="0" w:color="E0E0E0"/>
            </w:tcBorders>
            <w:shd w:val="clear" w:color="auto" w:fill="FFFFFF"/>
          </w:tcPr>
          <w:p w14:paraId="37EAE80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110.517</w:t>
            </w:r>
          </w:p>
        </w:tc>
        <w:tc>
          <w:tcPr>
            <w:tcW w:w="1331" w:type="dxa"/>
            <w:tcBorders>
              <w:top w:val="single" w:sz="8" w:space="0" w:color="152935"/>
              <w:left w:val="single" w:sz="8" w:space="0" w:color="E0E0E0"/>
              <w:bottom w:val="single" w:sz="8" w:space="0" w:color="AEAEAE"/>
              <w:right w:val="single" w:sz="8" w:space="0" w:color="E0E0E0"/>
            </w:tcBorders>
            <w:shd w:val="clear" w:color="auto" w:fill="FFFFFF"/>
          </w:tcPr>
          <w:p w14:paraId="49D4F2B2"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11.410</w:t>
            </w:r>
          </w:p>
        </w:tc>
        <w:tc>
          <w:tcPr>
            <w:tcW w:w="1025" w:type="dxa"/>
            <w:tcBorders>
              <w:top w:val="single" w:sz="8" w:space="0" w:color="152935"/>
              <w:left w:val="single" w:sz="8" w:space="0" w:color="E0E0E0"/>
              <w:bottom w:val="single" w:sz="8" w:space="0" w:color="AEAEAE"/>
              <w:right w:val="single" w:sz="8" w:space="0" w:color="E0E0E0"/>
            </w:tcBorders>
            <w:shd w:val="clear" w:color="auto" w:fill="FFFFFF"/>
          </w:tcPr>
          <w:p w14:paraId="116D0B5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9.686</w:t>
            </w:r>
          </w:p>
        </w:tc>
        <w:tc>
          <w:tcPr>
            <w:tcW w:w="1025" w:type="dxa"/>
            <w:tcBorders>
              <w:top w:val="single" w:sz="8" w:space="0" w:color="152935"/>
              <w:left w:val="single" w:sz="8" w:space="0" w:color="E0E0E0"/>
              <w:bottom w:val="single" w:sz="8" w:space="0" w:color="AEAEAE"/>
              <w:right w:val="nil"/>
            </w:tcBorders>
            <w:shd w:val="clear" w:color="auto" w:fill="FFFFFF"/>
          </w:tcPr>
          <w:p w14:paraId="1F5986C4" w14:textId="35C08904"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7D1EC310"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5E38AF6E"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3FAEFF81" w14:textId="00E80298"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Seasonality</w:t>
            </w:r>
            <w:r>
              <w:rPr>
                <w:rFonts w:ascii="Times New Roman" w:eastAsiaTheme="minorEastAsia" w:hAnsi="Times New Roman" w:cs="Times New Roman"/>
                <w:sz w:val="24"/>
                <w:szCs w:val="24"/>
                <w:lang w:eastAsia="ko-KR"/>
              </w:rPr>
              <w:t xml:space="preserve"> Qtr1</w:t>
            </w:r>
          </w:p>
        </w:tc>
        <w:tc>
          <w:tcPr>
            <w:tcW w:w="1331" w:type="dxa"/>
            <w:tcBorders>
              <w:top w:val="single" w:sz="8" w:space="0" w:color="AEAEAE"/>
              <w:left w:val="nil"/>
              <w:bottom w:val="single" w:sz="8" w:space="0" w:color="AEAEAE"/>
              <w:right w:val="single" w:sz="8" w:space="0" w:color="E0E0E0"/>
            </w:tcBorders>
            <w:shd w:val="clear" w:color="auto" w:fill="FFFFFF"/>
          </w:tcPr>
          <w:p w14:paraId="378CCAF6" w14:textId="3EAD9CEF"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w:t>
            </w:r>
            <w:r w:rsidRPr="007E3430">
              <w:rPr>
                <w:rFonts w:ascii="Times New Roman" w:eastAsiaTheme="minorEastAsia" w:hAnsi="Times New Roman" w:cs="Times New Roman"/>
                <w:sz w:val="24"/>
                <w:szCs w:val="24"/>
                <w:lang w:eastAsia="ko-KR"/>
              </w:rPr>
              <w:t>2.912</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2F5303B4" w14:textId="4DAA38E2"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2</w:t>
            </w:r>
            <w:r w:rsidRPr="007E3430">
              <w:rPr>
                <w:rFonts w:ascii="Times New Roman" w:eastAsiaTheme="minorEastAsia" w:hAnsi="Times New Roman" w:cs="Times New Roman"/>
                <w:sz w:val="24"/>
                <w:szCs w:val="24"/>
                <w:lang w:eastAsia="ko-KR"/>
              </w:rPr>
              <w:t>.641</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0E49C1DF" w14:textId="4DC0FCF3"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2</w:t>
            </w:r>
            <w:r w:rsidR="00515CAD" w:rsidRPr="007E3430">
              <w:rPr>
                <w:rFonts w:ascii="Times New Roman" w:eastAsiaTheme="minorEastAsia" w:hAnsi="Times New Roman" w:cs="Times New Roman"/>
                <w:sz w:val="24"/>
                <w:szCs w:val="24"/>
                <w:lang w:eastAsia="ko-KR"/>
              </w:rPr>
              <w:t>.</w:t>
            </w:r>
            <w:r>
              <w:rPr>
                <w:rFonts w:ascii="Times New Roman" w:eastAsiaTheme="minorEastAsia" w:hAnsi="Times New Roman" w:cs="Times New Roman"/>
                <w:sz w:val="24"/>
                <w:szCs w:val="24"/>
                <w:lang w:eastAsia="ko-KR"/>
              </w:rPr>
              <w:t>6</w:t>
            </w:r>
            <w:r w:rsidR="00515CAD" w:rsidRPr="007E3430">
              <w:rPr>
                <w:rFonts w:ascii="Times New Roman" w:eastAsiaTheme="minorEastAsia" w:hAnsi="Times New Roman" w:cs="Times New Roman"/>
                <w:sz w:val="24"/>
                <w:szCs w:val="24"/>
                <w:lang w:eastAsia="ko-KR"/>
              </w:rPr>
              <w:t>42</w:t>
            </w:r>
          </w:p>
        </w:tc>
        <w:tc>
          <w:tcPr>
            <w:tcW w:w="1025" w:type="dxa"/>
            <w:tcBorders>
              <w:top w:val="single" w:sz="8" w:space="0" w:color="AEAEAE"/>
              <w:left w:val="single" w:sz="8" w:space="0" w:color="E0E0E0"/>
              <w:bottom w:val="single" w:sz="8" w:space="0" w:color="AEAEAE"/>
              <w:right w:val="nil"/>
            </w:tcBorders>
            <w:shd w:val="clear" w:color="auto" w:fill="FFFFFF"/>
          </w:tcPr>
          <w:p w14:paraId="3E9F3771" w14:textId="7CF33736"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5</w:t>
            </w:r>
          </w:p>
        </w:tc>
      </w:tr>
      <w:tr w:rsidR="00515CAD" w:rsidRPr="007E3430" w14:paraId="0955C612"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43BB3ADA"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00CD9684" w14:textId="3448BA29"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 xml:space="preserve">Seasonality </w:t>
            </w:r>
            <w:proofErr w:type="spellStart"/>
            <w:r>
              <w:rPr>
                <w:rFonts w:ascii="Times New Roman" w:eastAsiaTheme="minorEastAsia" w:hAnsi="Times New Roman" w:cs="Times New Roman"/>
                <w:sz w:val="24"/>
                <w:szCs w:val="24"/>
                <w:lang w:eastAsia="ko-KR"/>
              </w:rPr>
              <w:t>Qtr</w:t>
            </w:r>
            <w:proofErr w:type="spellEnd"/>
            <w:r>
              <w:rPr>
                <w:rFonts w:ascii="Times New Roman" w:eastAsiaTheme="minorEastAsia" w:hAnsi="Times New Roman" w:cs="Times New Roman"/>
                <w:sz w:val="24"/>
                <w:szCs w:val="24"/>
                <w:lang w:eastAsia="ko-KR"/>
              </w:rPr>
              <w:t xml:space="preserve"> 2</w:t>
            </w:r>
          </w:p>
        </w:tc>
        <w:tc>
          <w:tcPr>
            <w:tcW w:w="1331" w:type="dxa"/>
            <w:tcBorders>
              <w:top w:val="single" w:sz="8" w:space="0" w:color="AEAEAE"/>
              <w:left w:val="nil"/>
              <w:bottom w:val="single" w:sz="8" w:space="0" w:color="AEAEAE"/>
              <w:right w:val="single" w:sz="8" w:space="0" w:color="E0E0E0"/>
            </w:tcBorders>
            <w:shd w:val="clear" w:color="auto" w:fill="FFFFFF"/>
          </w:tcPr>
          <w:p w14:paraId="6A13E6D8" w14:textId="256A5B16"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-1.567</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188BE2B6" w14:textId="038DAB6A"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2.888</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10E324AE" w14:textId="3DFF4231"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2.144</w:t>
            </w:r>
          </w:p>
        </w:tc>
        <w:tc>
          <w:tcPr>
            <w:tcW w:w="1025" w:type="dxa"/>
            <w:tcBorders>
              <w:top w:val="single" w:sz="8" w:space="0" w:color="AEAEAE"/>
              <w:left w:val="single" w:sz="8" w:space="0" w:color="E0E0E0"/>
              <w:bottom w:val="single" w:sz="8" w:space="0" w:color="AEAEAE"/>
              <w:right w:val="nil"/>
            </w:tcBorders>
            <w:shd w:val="clear" w:color="auto" w:fill="FFFFFF"/>
          </w:tcPr>
          <w:p w14:paraId="7502D943" w14:textId="44137397"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5</w:t>
            </w:r>
          </w:p>
        </w:tc>
      </w:tr>
      <w:tr w:rsidR="00515CAD" w:rsidRPr="007E3430" w14:paraId="4CDD1DA5"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3DAB1C81"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687157B4" w14:textId="6DCBDAB1"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 xml:space="preserve">Seasonality </w:t>
            </w:r>
            <w:proofErr w:type="spellStart"/>
            <w:r>
              <w:rPr>
                <w:rFonts w:ascii="Times New Roman" w:eastAsiaTheme="minorEastAsia" w:hAnsi="Times New Roman" w:cs="Times New Roman"/>
                <w:sz w:val="24"/>
                <w:szCs w:val="24"/>
                <w:lang w:eastAsia="ko-KR"/>
              </w:rPr>
              <w:t>Qtr</w:t>
            </w:r>
            <w:proofErr w:type="spellEnd"/>
            <w:r>
              <w:rPr>
                <w:rFonts w:ascii="Times New Roman" w:eastAsiaTheme="minorEastAsia" w:hAnsi="Times New Roman" w:cs="Times New Roman"/>
                <w:sz w:val="24"/>
                <w:szCs w:val="24"/>
                <w:lang w:eastAsia="ko-KR"/>
              </w:rPr>
              <w:t xml:space="preserve"> 3</w:t>
            </w:r>
          </w:p>
        </w:tc>
        <w:tc>
          <w:tcPr>
            <w:tcW w:w="1331" w:type="dxa"/>
            <w:tcBorders>
              <w:top w:val="single" w:sz="8" w:space="0" w:color="AEAEAE"/>
              <w:left w:val="nil"/>
              <w:bottom w:val="single" w:sz="8" w:space="0" w:color="AEAEAE"/>
              <w:right w:val="single" w:sz="8" w:space="0" w:color="E0E0E0"/>
            </w:tcBorders>
            <w:shd w:val="clear" w:color="auto" w:fill="FFFFFF"/>
          </w:tcPr>
          <w:p w14:paraId="5F3E823C" w14:textId="499F0E6D"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w:t>
            </w:r>
            <w:r w:rsidR="00DB54B2">
              <w:rPr>
                <w:rFonts w:ascii="Times New Roman" w:eastAsiaTheme="minorEastAsia" w:hAnsi="Times New Roman" w:cs="Times New Roman"/>
                <w:sz w:val="24"/>
                <w:szCs w:val="24"/>
                <w:lang w:eastAsia="ko-KR"/>
              </w:rPr>
              <w:t>12</w:t>
            </w:r>
            <w:r>
              <w:rPr>
                <w:rFonts w:ascii="Times New Roman" w:eastAsiaTheme="minorEastAsia" w:hAnsi="Times New Roman" w:cs="Times New Roman"/>
                <w:sz w:val="24"/>
                <w:szCs w:val="24"/>
                <w:lang w:eastAsia="ko-KR"/>
              </w:rPr>
              <w:t>.743</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7C171C92" w14:textId="761AB4AB"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4</w:t>
            </w:r>
            <w:r w:rsidR="00515CAD">
              <w:rPr>
                <w:rFonts w:ascii="Times New Roman" w:eastAsiaTheme="minorEastAsia" w:hAnsi="Times New Roman" w:cs="Times New Roman"/>
                <w:sz w:val="24"/>
                <w:szCs w:val="24"/>
                <w:lang w:eastAsia="ko-KR"/>
              </w:rPr>
              <w:t>.945</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07BC20E5" w14:textId="702A4801"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3.888</w:t>
            </w:r>
          </w:p>
        </w:tc>
        <w:tc>
          <w:tcPr>
            <w:tcW w:w="1025" w:type="dxa"/>
            <w:tcBorders>
              <w:top w:val="single" w:sz="8" w:space="0" w:color="AEAEAE"/>
              <w:left w:val="single" w:sz="8" w:space="0" w:color="E0E0E0"/>
              <w:bottom w:val="single" w:sz="8" w:space="0" w:color="AEAEAE"/>
              <w:right w:val="nil"/>
            </w:tcBorders>
            <w:shd w:val="clear" w:color="auto" w:fill="FFFFFF"/>
          </w:tcPr>
          <w:p w14:paraId="5746A963" w14:textId="5983A21E"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39073732"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202E34ED"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27B1222B"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Number of Sales</w:t>
            </w:r>
          </w:p>
        </w:tc>
        <w:tc>
          <w:tcPr>
            <w:tcW w:w="1331" w:type="dxa"/>
            <w:tcBorders>
              <w:top w:val="single" w:sz="8" w:space="0" w:color="AEAEAE"/>
              <w:left w:val="nil"/>
              <w:bottom w:val="single" w:sz="8" w:space="0" w:color="AEAEAE"/>
              <w:right w:val="single" w:sz="8" w:space="0" w:color="E0E0E0"/>
            </w:tcBorders>
            <w:shd w:val="clear" w:color="auto" w:fill="FFFFFF"/>
          </w:tcPr>
          <w:p w14:paraId="51789CB1"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-.006</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1B2020A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152DFF2F"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-58.736</w:t>
            </w:r>
          </w:p>
        </w:tc>
        <w:tc>
          <w:tcPr>
            <w:tcW w:w="1025" w:type="dxa"/>
            <w:tcBorders>
              <w:top w:val="single" w:sz="8" w:space="0" w:color="AEAEAE"/>
              <w:left w:val="single" w:sz="8" w:space="0" w:color="E0E0E0"/>
              <w:bottom w:val="single" w:sz="8" w:space="0" w:color="AEAEAE"/>
              <w:right w:val="nil"/>
            </w:tcBorders>
            <w:shd w:val="clear" w:color="auto" w:fill="FFFFFF"/>
          </w:tcPr>
          <w:p w14:paraId="20A36FDD"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r>
      <w:tr w:rsidR="00515CAD" w:rsidRPr="007E3430" w14:paraId="20A01D33"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64DD3EB2"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16BB2216"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Active Listings</w:t>
            </w:r>
          </w:p>
        </w:tc>
        <w:tc>
          <w:tcPr>
            <w:tcW w:w="1331" w:type="dxa"/>
            <w:tcBorders>
              <w:top w:val="single" w:sz="8" w:space="0" w:color="AEAEAE"/>
              <w:left w:val="nil"/>
              <w:bottom w:val="single" w:sz="8" w:space="0" w:color="AEAEAE"/>
              <w:right w:val="single" w:sz="8" w:space="0" w:color="E0E0E0"/>
            </w:tcBorders>
            <w:shd w:val="clear" w:color="auto" w:fill="FFFFFF"/>
          </w:tcPr>
          <w:p w14:paraId="24175D4B"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.006</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2F62BBA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4EA3B549"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52.139</w:t>
            </w:r>
          </w:p>
        </w:tc>
        <w:tc>
          <w:tcPr>
            <w:tcW w:w="1025" w:type="dxa"/>
            <w:tcBorders>
              <w:top w:val="single" w:sz="8" w:space="0" w:color="AEAEAE"/>
              <w:left w:val="single" w:sz="8" w:space="0" w:color="E0E0E0"/>
              <w:bottom w:val="single" w:sz="8" w:space="0" w:color="AEAEAE"/>
              <w:right w:val="nil"/>
            </w:tcBorders>
            <w:shd w:val="clear" w:color="auto" w:fill="FFFFFF"/>
          </w:tcPr>
          <w:p w14:paraId="796E898F"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r>
      <w:tr w:rsidR="00515CAD" w:rsidRPr="007E3430" w14:paraId="59F00667"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398CF6E2"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6FE80F45" w14:textId="072D03C9"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 xml:space="preserve">Date </w:t>
            </w:r>
            <w:proofErr w:type="spellStart"/>
            <w:r w:rsidRPr="007E3430">
              <w:rPr>
                <w:rFonts w:ascii="Times New Roman" w:eastAsiaTheme="minorEastAsia" w:hAnsi="Times New Roman" w:cs="Times New Roman"/>
                <w:sz w:val="24"/>
                <w:szCs w:val="24"/>
                <w:lang w:eastAsia="ko-KR"/>
              </w:rPr>
              <w:t>Idx</w:t>
            </w:r>
            <w:proofErr w:type="spellEnd"/>
            <w:r>
              <w:rPr>
                <w:rFonts w:ascii="Times New Roman" w:eastAsiaTheme="minorEastAsia" w:hAnsi="Times New Roman" w:cs="Times New Roman"/>
                <w:sz w:val="24"/>
                <w:szCs w:val="24"/>
                <w:lang w:eastAsia="ko-KR"/>
              </w:rPr>
              <w:t xml:space="preserve"> (</w:t>
            </w:r>
            <w:r w:rsidR="00DB54B2">
              <w:rPr>
                <w:rFonts w:ascii="Times New Roman" w:eastAsiaTheme="minorEastAsia" w:hAnsi="Times New Roman" w:cs="Times New Roman"/>
                <w:sz w:val="24"/>
                <w:szCs w:val="24"/>
                <w:lang w:eastAsia="ko-KR"/>
              </w:rPr>
              <w:t xml:space="preserve">Annual </w:t>
            </w:r>
            <w:r>
              <w:rPr>
                <w:rFonts w:ascii="Times New Roman" w:eastAsiaTheme="minorEastAsia" w:hAnsi="Times New Roman" w:cs="Times New Roman"/>
                <w:sz w:val="24"/>
                <w:szCs w:val="24"/>
                <w:lang w:eastAsia="ko-KR"/>
              </w:rPr>
              <w:t>dummies</w:t>
            </w:r>
            <w:r w:rsidR="00DB54B2">
              <w:rPr>
                <w:rFonts w:ascii="Times New Roman" w:eastAsiaTheme="minorEastAsia" w:hAnsi="Times New Roman" w:cs="Times New Roman"/>
                <w:sz w:val="24"/>
                <w:szCs w:val="24"/>
                <w:lang w:eastAsia="ko-KR"/>
              </w:rPr>
              <w:t xml:space="preserve"> not shown</w:t>
            </w:r>
            <w:r>
              <w:rPr>
                <w:rFonts w:ascii="Times New Roman" w:eastAsiaTheme="minorEastAsia" w:hAnsi="Times New Roman" w:cs="Times New Roman"/>
                <w:sz w:val="24"/>
                <w:szCs w:val="24"/>
                <w:lang w:eastAsia="ko-KR"/>
              </w:rPr>
              <w:t>)</w:t>
            </w:r>
          </w:p>
        </w:tc>
        <w:tc>
          <w:tcPr>
            <w:tcW w:w="1331" w:type="dxa"/>
            <w:tcBorders>
              <w:top w:val="single" w:sz="8" w:space="0" w:color="AEAEAE"/>
              <w:left w:val="nil"/>
              <w:bottom w:val="single" w:sz="8" w:space="0" w:color="AEAEAE"/>
              <w:right w:val="single" w:sz="8" w:space="0" w:color="E0E0E0"/>
            </w:tcBorders>
            <w:shd w:val="clear" w:color="auto" w:fill="FFFFFF"/>
          </w:tcPr>
          <w:p w14:paraId="349EBBB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-.099</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4894E3E7"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.019</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4C9DB980"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-5.166</w:t>
            </w:r>
          </w:p>
        </w:tc>
        <w:tc>
          <w:tcPr>
            <w:tcW w:w="1025" w:type="dxa"/>
            <w:tcBorders>
              <w:top w:val="single" w:sz="8" w:space="0" w:color="AEAEAE"/>
              <w:left w:val="single" w:sz="8" w:space="0" w:color="E0E0E0"/>
              <w:bottom w:val="single" w:sz="8" w:space="0" w:color="AEAEAE"/>
              <w:right w:val="nil"/>
            </w:tcBorders>
            <w:shd w:val="clear" w:color="auto" w:fill="FFFFFF"/>
          </w:tcPr>
          <w:p w14:paraId="59E24EA5" w14:textId="58B6AB9D"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10071D27"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68327DEC"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7415C523" w14:textId="6E605284"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Foreclosure</w:t>
            </w:r>
            <w:r>
              <w:rPr>
                <w:rFonts w:ascii="Times New Roman" w:eastAsiaTheme="minorEastAsia" w:hAnsi="Times New Roman" w:cs="Times New Roman"/>
                <w:sz w:val="24"/>
                <w:szCs w:val="24"/>
                <w:lang w:eastAsia="ko-KR"/>
              </w:rPr>
              <w:t xml:space="preserve"> (1 for &gt;5%, 0 otherwise)</w:t>
            </w:r>
          </w:p>
        </w:tc>
        <w:tc>
          <w:tcPr>
            <w:tcW w:w="1331" w:type="dxa"/>
            <w:tcBorders>
              <w:top w:val="single" w:sz="8" w:space="0" w:color="AEAEAE"/>
              <w:left w:val="nil"/>
              <w:bottom w:val="single" w:sz="8" w:space="0" w:color="AEAEAE"/>
              <w:right w:val="single" w:sz="8" w:space="0" w:color="E0E0E0"/>
            </w:tcBorders>
            <w:shd w:val="clear" w:color="auto" w:fill="FFFFFF"/>
          </w:tcPr>
          <w:p w14:paraId="0238B9F8" w14:textId="3FCDAFFC"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w:t>
            </w:r>
            <w:r>
              <w:rPr>
                <w:rFonts w:ascii="Times New Roman" w:eastAsiaTheme="minorEastAsia" w:hAnsi="Times New Roman" w:cs="Times New Roman"/>
                <w:sz w:val="24"/>
                <w:szCs w:val="24"/>
                <w:lang w:eastAsia="ko-KR"/>
              </w:rPr>
              <w:t>15</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55430216" w14:textId="049AFC92"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w:t>
            </w:r>
            <w:r>
              <w:rPr>
                <w:rFonts w:ascii="Times New Roman" w:eastAsiaTheme="minorEastAsia" w:hAnsi="Times New Roman" w:cs="Times New Roman"/>
                <w:sz w:val="24"/>
                <w:szCs w:val="24"/>
                <w:lang w:eastAsia="ko-KR"/>
              </w:rPr>
              <w:t>26</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3C9F0290"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-3.162</w:t>
            </w:r>
          </w:p>
        </w:tc>
        <w:tc>
          <w:tcPr>
            <w:tcW w:w="1025" w:type="dxa"/>
            <w:tcBorders>
              <w:top w:val="single" w:sz="8" w:space="0" w:color="AEAEAE"/>
              <w:left w:val="single" w:sz="8" w:space="0" w:color="E0E0E0"/>
              <w:bottom w:val="single" w:sz="8" w:space="0" w:color="AEAEAE"/>
              <w:right w:val="nil"/>
            </w:tcBorders>
            <w:shd w:val="clear" w:color="auto" w:fill="FFFFFF"/>
          </w:tcPr>
          <w:p w14:paraId="3B323424" w14:textId="7A86758C"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3B064DAD"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7BF60CFF"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295D9CCE" w14:textId="0C198EF4"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Price Tiers</w:t>
            </w:r>
            <w:r>
              <w:rPr>
                <w:rFonts w:ascii="Times New Roman" w:eastAsiaTheme="minorEastAsia" w:hAnsi="Times New Roman" w:cs="Times New Roman"/>
                <w:sz w:val="24"/>
                <w:szCs w:val="24"/>
                <w:lang w:eastAsia="ko-KR"/>
              </w:rPr>
              <w:t xml:space="preserve"> (Low) Bottom 5%</w:t>
            </w:r>
          </w:p>
        </w:tc>
        <w:tc>
          <w:tcPr>
            <w:tcW w:w="1331" w:type="dxa"/>
            <w:tcBorders>
              <w:top w:val="single" w:sz="8" w:space="0" w:color="AEAEAE"/>
              <w:left w:val="nil"/>
              <w:bottom w:val="single" w:sz="8" w:space="0" w:color="AEAEAE"/>
              <w:right w:val="single" w:sz="8" w:space="0" w:color="E0E0E0"/>
            </w:tcBorders>
            <w:shd w:val="clear" w:color="auto" w:fill="FFFFFF"/>
          </w:tcPr>
          <w:p w14:paraId="07556295" w14:textId="6BA0A6D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1.044</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71B39623" w14:textId="6245B52D"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2</w:t>
            </w:r>
            <w:r w:rsidRPr="007E3430">
              <w:rPr>
                <w:rFonts w:ascii="Times New Roman" w:eastAsiaTheme="minorEastAsia" w:hAnsi="Times New Roman" w:cs="Times New Roman"/>
                <w:sz w:val="24"/>
                <w:szCs w:val="24"/>
                <w:lang w:eastAsia="ko-KR"/>
              </w:rPr>
              <w:t>.</w:t>
            </w:r>
            <w:r>
              <w:rPr>
                <w:rFonts w:ascii="Times New Roman" w:eastAsiaTheme="minorEastAsia" w:hAnsi="Times New Roman" w:cs="Times New Roman"/>
                <w:sz w:val="24"/>
                <w:szCs w:val="24"/>
                <w:lang w:eastAsia="ko-KR"/>
              </w:rPr>
              <w:t>249</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6BBD9560"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3.668</w:t>
            </w:r>
          </w:p>
        </w:tc>
        <w:tc>
          <w:tcPr>
            <w:tcW w:w="1025" w:type="dxa"/>
            <w:tcBorders>
              <w:top w:val="single" w:sz="8" w:space="0" w:color="AEAEAE"/>
              <w:left w:val="single" w:sz="8" w:space="0" w:color="E0E0E0"/>
              <w:bottom w:val="single" w:sz="8" w:space="0" w:color="AEAEAE"/>
              <w:right w:val="nil"/>
            </w:tcBorders>
            <w:shd w:val="clear" w:color="auto" w:fill="FFFFFF"/>
          </w:tcPr>
          <w:p w14:paraId="63186C79" w14:textId="42ED16F5"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0552B0E4"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5101CE77"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4D5A89DD" w14:textId="400B500C"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Price Tier (Normal)</w:t>
            </w:r>
          </w:p>
        </w:tc>
        <w:tc>
          <w:tcPr>
            <w:tcW w:w="1331" w:type="dxa"/>
            <w:tcBorders>
              <w:top w:val="single" w:sz="8" w:space="0" w:color="AEAEAE"/>
              <w:left w:val="nil"/>
              <w:bottom w:val="single" w:sz="8" w:space="0" w:color="AEAEAE"/>
              <w:right w:val="single" w:sz="8" w:space="0" w:color="E0E0E0"/>
            </w:tcBorders>
            <w:shd w:val="clear" w:color="auto" w:fill="FFFFFF"/>
          </w:tcPr>
          <w:p w14:paraId="2567CCF0"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1A2DCB03"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363B0803"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p>
        </w:tc>
        <w:tc>
          <w:tcPr>
            <w:tcW w:w="1025" w:type="dxa"/>
            <w:tcBorders>
              <w:top w:val="single" w:sz="8" w:space="0" w:color="AEAEAE"/>
              <w:left w:val="single" w:sz="8" w:space="0" w:color="E0E0E0"/>
              <w:bottom w:val="single" w:sz="8" w:space="0" w:color="AEAEAE"/>
              <w:right w:val="nil"/>
            </w:tcBorders>
            <w:shd w:val="clear" w:color="auto" w:fill="FFFFFF"/>
          </w:tcPr>
          <w:p w14:paraId="11AF18AF"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p>
        </w:tc>
      </w:tr>
      <w:tr w:rsidR="00515CAD" w:rsidRPr="007E3430" w14:paraId="781676A3"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0D640C66"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523C5CF3" w14:textId="09426EBB"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Price Tier (High)</w:t>
            </w:r>
            <w:r w:rsidRPr="00CD123E">
              <w:rPr>
                <w:rFonts w:ascii="Times New Roman" w:eastAsiaTheme="minorEastAsia" w:hAnsi="Times New Roman" w:cs="Times New Roman"/>
                <w:sz w:val="20"/>
                <w:szCs w:val="20"/>
                <w:lang w:eastAsia="ko-KR"/>
              </w:rPr>
              <w:t xml:space="preserve"> top 5%</w:t>
            </w:r>
          </w:p>
        </w:tc>
        <w:tc>
          <w:tcPr>
            <w:tcW w:w="1331" w:type="dxa"/>
            <w:tcBorders>
              <w:top w:val="single" w:sz="8" w:space="0" w:color="AEAEAE"/>
              <w:left w:val="nil"/>
              <w:bottom w:val="single" w:sz="8" w:space="0" w:color="AEAEAE"/>
              <w:right w:val="single" w:sz="8" w:space="0" w:color="E0E0E0"/>
            </w:tcBorders>
            <w:shd w:val="clear" w:color="auto" w:fill="FFFFFF"/>
          </w:tcPr>
          <w:p w14:paraId="70C6C372" w14:textId="34E48ACD"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5.399</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1444DF35" w14:textId="3223D3DD"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7.376</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2748F080" w14:textId="60881ECE"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3.921</w:t>
            </w:r>
          </w:p>
        </w:tc>
        <w:tc>
          <w:tcPr>
            <w:tcW w:w="1025" w:type="dxa"/>
            <w:tcBorders>
              <w:top w:val="single" w:sz="8" w:space="0" w:color="AEAEAE"/>
              <w:left w:val="single" w:sz="8" w:space="0" w:color="E0E0E0"/>
              <w:bottom w:val="single" w:sz="8" w:space="0" w:color="AEAEAE"/>
              <w:right w:val="nil"/>
            </w:tcBorders>
            <w:shd w:val="clear" w:color="auto" w:fill="FFFFFF"/>
          </w:tcPr>
          <w:p w14:paraId="343F3664" w14:textId="58939363"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.00</w:t>
            </w:r>
            <w:r w:rsidR="00A53DE9">
              <w:rPr>
                <w:rFonts w:ascii="Times New Roman" w:eastAsiaTheme="minorEastAsia" w:hAnsi="Times New Roman" w:cs="Times New Roman"/>
                <w:sz w:val="24"/>
                <w:szCs w:val="24"/>
                <w:lang w:eastAsia="ko-KR"/>
              </w:rPr>
              <w:t>1</w:t>
            </w:r>
          </w:p>
        </w:tc>
      </w:tr>
      <w:tr w:rsidR="00515CAD" w:rsidRPr="007E3430" w14:paraId="78505BAA"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7BDEB904"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2A6CC01F" w14:textId="35BEB2E3"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MRI</w:t>
            </w:r>
          </w:p>
        </w:tc>
        <w:tc>
          <w:tcPr>
            <w:tcW w:w="1331" w:type="dxa"/>
            <w:tcBorders>
              <w:top w:val="single" w:sz="8" w:space="0" w:color="AEAEAE"/>
              <w:left w:val="nil"/>
              <w:bottom w:val="single" w:sz="8" w:space="0" w:color="AEAEAE"/>
              <w:right w:val="single" w:sz="8" w:space="0" w:color="E0E0E0"/>
            </w:tcBorders>
            <w:shd w:val="clear" w:color="auto" w:fill="FFFFFF"/>
          </w:tcPr>
          <w:p w14:paraId="29132DDE" w14:textId="6F8127A6"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-31</w:t>
            </w:r>
            <w:r w:rsidRPr="007E3430">
              <w:rPr>
                <w:rFonts w:ascii="Times New Roman" w:eastAsiaTheme="minorEastAsia" w:hAnsi="Times New Roman" w:cs="Times New Roman"/>
                <w:sz w:val="24"/>
                <w:szCs w:val="24"/>
                <w:lang w:eastAsia="ko-KR"/>
              </w:rPr>
              <w:t>.006</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5FD377DC" w14:textId="28741EFF"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13</w:t>
            </w:r>
            <w:r w:rsidRPr="007E3430">
              <w:rPr>
                <w:rFonts w:ascii="Times New Roman" w:eastAsiaTheme="minorEastAsia" w:hAnsi="Times New Roman" w:cs="Times New Roman"/>
                <w:sz w:val="24"/>
                <w:szCs w:val="24"/>
                <w:lang w:eastAsia="ko-KR"/>
              </w:rPr>
              <w:t>.</w:t>
            </w:r>
            <w:r>
              <w:rPr>
                <w:rFonts w:ascii="Times New Roman" w:eastAsiaTheme="minorEastAsia" w:hAnsi="Times New Roman" w:cs="Times New Roman"/>
                <w:sz w:val="24"/>
                <w:szCs w:val="24"/>
                <w:lang w:eastAsia="ko-KR"/>
              </w:rPr>
              <w:t>544</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70B7B878"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2.669</w:t>
            </w:r>
          </w:p>
        </w:tc>
        <w:tc>
          <w:tcPr>
            <w:tcW w:w="1025" w:type="dxa"/>
            <w:tcBorders>
              <w:top w:val="single" w:sz="8" w:space="0" w:color="AEAEAE"/>
              <w:left w:val="single" w:sz="8" w:space="0" w:color="E0E0E0"/>
              <w:bottom w:val="single" w:sz="8" w:space="0" w:color="AEAEAE"/>
              <w:right w:val="nil"/>
            </w:tcBorders>
            <w:shd w:val="clear" w:color="auto" w:fill="FFFFFF"/>
          </w:tcPr>
          <w:p w14:paraId="532CCA0E"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.008</w:t>
            </w:r>
          </w:p>
        </w:tc>
      </w:tr>
      <w:tr w:rsidR="00515CAD" w:rsidRPr="007E3430" w14:paraId="36D19AC4"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734C4F09"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5180F4F2" w14:textId="633A86AB" w:rsidR="00515CAD" w:rsidRPr="007E3430" w:rsidRDefault="00515CAD" w:rsidP="00A074CE">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MRI Squared</w:t>
            </w:r>
          </w:p>
        </w:tc>
        <w:tc>
          <w:tcPr>
            <w:tcW w:w="1331" w:type="dxa"/>
            <w:tcBorders>
              <w:top w:val="single" w:sz="8" w:space="0" w:color="AEAEAE"/>
              <w:left w:val="nil"/>
              <w:bottom w:val="single" w:sz="8" w:space="0" w:color="AEAEAE"/>
              <w:right w:val="single" w:sz="8" w:space="0" w:color="E0E0E0"/>
            </w:tcBorders>
            <w:shd w:val="clear" w:color="auto" w:fill="FFFFFF"/>
          </w:tcPr>
          <w:p w14:paraId="5B41B850" w14:textId="4E658A36"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3.497</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0348AB16" w14:textId="78CDD330"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.794</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1C5852D3" w14:textId="59895F13" w:rsidR="00515CAD" w:rsidRPr="007E3430" w:rsidRDefault="00DB54B2"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3</w:t>
            </w:r>
            <w:r w:rsidR="00515CAD">
              <w:rPr>
                <w:rFonts w:ascii="Times New Roman" w:eastAsiaTheme="minorEastAsia" w:hAnsi="Times New Roman" w:cs="Times New Roman"/>
                <w:sz w:val="24"/>
                <w:szCs w:val="24"/>
                <w:lang w:eastAsia="ko-KR"/>
              </w:rPr>
              <w:t>.764</w:t>
            </w:r>
          </w:p>
        </w:tc>
        <w:tc>
          <w:tcPr>
            <w:tcW w:w="1025" w:type="dxa"/>
            <w:tcBorders>
              <w:top w:val="single" w:sz="8" w:space="0" w:color="AEAEAE"/>
              <w:left w:val="single" w:sz="8" w:space="0" w:color="E0E0E0"/>
              <w:bottom w:val="single" w:sz="8" w:space="0" w:color="AEAEAE"/>
              <w:right w:val="nil"/>
            </w:tcBorders>
            <w:shd w:val="clear" w:color="auto" w:fill="FFFFFF"/>
          </w:tcPr>
          <w:p w14:paraId="036E3AC7" w14:textId="303F7EFA"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w:t>
            </w:r>
            <w:r w:rsidR="00A53DE9">
              <w:rPr>
                <w:rFonts w:ascii="Times New Roman" w:eastAsiaTheme="minorEastAsia" w:hAnsi="Times New Roman" w:cs="Times New Roman"/>
                <w:sz w:val="24"/>
                <w:szCs w:val="24"/>
                <w:lang w:eastAsia="ko-KR"/>
              </w:rPr>
              <w:t>001</w:t>
            </w:r>
          </w:p>
        </w:tc>
      </w:tr>
      <w:tr w:rsidR="00515CAD" w:rsidRPr="007E3430" w14:paraId="2A45EF6E"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3DD98E21"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5E2E6E1D"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Sold Price Living</w:t>
            </w:r>
          </w:p>
        </w:tc>
        <w:tc>
          <w:tcPr>
            <w:tcW w:w="1331" w:type="dxa"/>
            <w:tcBorders>
              <w:top w:val="single" w:sz="8" w:space="0" w:color="AEAEAE"/>
              <w:left w:val="nil"/>
              <w:bottom w:val="single" w:sz="8" w:space="0" w:color="AEAEAE"/>
              <w:right w:val="single" w:sz="8" w:space="0" w:color="E0E0E0"/>
            </w:tcBorders>
            <w:shd w:val="clear" w:color="auto" w:fill="FFFFFF"/>
          </w:tcPr>
          <w:p w14:paraId="36433E7B"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-.003</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4CC0B665"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7118714A"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-17.523</w:t>
            </w:r>
          </w:p>
        </w:tc>
        <w:tc>
          <w:tcPr>
            <w:tcW w:w="1025" w:type="dxa"/>
            <w:tcBorders>
              <w:top w:val="single" w:sz="8" w:space="0" w:color="AEAEAE"/>
              <w:left w:val="single" w:sz="8" w:space="0" w:color="E0E0E0"/>
              <w:bottom w:val="single" w:sz="8" w:space="0" w:color="AEAEAE"/>
              <w:right w:val="nil"/>
            </w:tcBorders>
            <w:shd w:val="clear" w:color="auto" w:fill="FFFFFF"/>
          </w:tcPr>
          <w:p w14:paraId="51BF12ED"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r>
      <w:tr w:rsidR="00515CAD" w:rsidRPr="007E3430" w14:paraId="39BA366C" w14:textId="77777777" w:rsidTr="00515CAD">
        <w:trPr>
          <w:cantSplit/>
        </w:trPr>
        <w:tc>
          <w:tcPr>
            <w:tcW w:w="735" w:type="dxa"/>
            <w:vMerge/>
            <w:tcBorders>
              <w:top w:val="single" w:sz="8" w:space="0" w:color="152935"/>
              <w:left w:val="nil"/>
              <w:bottom w:val="single" w:sz="8" w:space="0" w:color="152935"/>
              <w:right w:val="nil"/>
            </w:tcBorders>
            <w:shd w:val="clear" w:color="auto" w:fill="E0E0E0"/>
          </w:tcPr>
          <w:p w14:paraId="57FF26ED" w14:textId="77777777" w:rsidR="00515CAD" w:rsidRPr="007E3430" w:rsidRDefault="00515CAD" w:rsidP="007E3430">
            <w:pPr>
              <w:autoSpaceDE w:val="0"/>
              <w:autoSpaceDN w:val="0"/>
              <w:adjustRightInd w:val="0"/>
              <w:spacing w:after="0" w:line="240" w:lineRule="auto"/>
              <w:rPr>
                <w:rFonts w:ascii="Times New Roman" w:eastAsiaTheme="minorEastAsia" w:hAnsi="Times New Roman" w:cs="Times New Roman"/>
                <w:sz w:val="24"/>
                <w:szCs w:val="24"/>
                <w:lang w:eastAsia="ko-KR"/>
              </w:rPr>
            </w:pPr>
          </w:p>
        </w:tc>
        <w:tc>
          <w:tcPr>
            <w:tcW w:w="2448" w:type="dxa"/>
            <w:tcBorders>
              <w:top w:val="single" w:sz="8" w:space="0" w:color="AEAEAE"/>
              <w:left w:val="nil"/>
              <w:bottom w:val="single" w:sz="8" w:space="0" w:color="AEAEAE"/>
              <w:right w:val="nil"/>
            </w:tcBorders>
            <w:shd w:val="clear" w:color="auto" w:fill="E0E0E0"/>
          </w:tcPr>
          <w:p w14:paraId="72853560" w14:textId="77777777" w:rsidR="00515CAD" w:rsidRPr="007E3430" w:rsidRDefault="00515CAD"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Sold to List Ratio</w:t>
            </w:r>
          </w:p>
        </w:tc>
        <w:tc>
          <w:tcPr>
            <w:tcW w:w="1331" w:type="dxa"/>
            <w:tcBorders>
              <w:top w:val="single" w:sz="8" w:space="0" w:color="AEAEAE"/>
              <w:left w:val="nil"/>
              <w:bottom w:val="single" w:sz="8" w:space="0" w:color="AEAEAE"/>
              <w:right w:val="single" w:sz="8" w:space="0" w:color="E0E0E0"/>
            </w:tcBorders>
            <w:shd w:val="clear" w:color="auto" w:fill="FFFFFF"/>
          </w:tcPr>
          <w:p w14:paraId="7B5D9790"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-8.474</w:t>
            </w:r>
          </w:p>
        </w:tc>
        <w:tc>
          <w:tcPr>
            <w:tcW w:w="1331" w:type="dxa"/>
            <w:tcBorders>
              <w:top w:val="single" w:sz="8" w:space="0" w:color="AEAEAE"/>
              <w:left w:val="single" w:sz="8" w:space="0" w:color="E0E0E0"/>
              <w:bottom w:val="single" w:sz="8" w:space="0" w:color="AEAEAE"/>
              <w:right w:val="single" w:sz="8" w:space="0" w:color="E0E0E0"/>
            </w:tcBorders>
            <w:shd w:val="clear" w:color="auto" w:fill="FFFFFF"/>
          </w:tcPr>
          <w:p w14:paraId="508C5A89"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.336</w:t>
            </w:r>
          </w:p>
        </w:tc>
        <w:tc>
          <w:tcPr>
            <w:tcW w:w="1025" w:type="dxa"/>
            <w:tcBorders>
              <w:top w:val="single" w:sz="8" w:space="0" w:color="AEAEAE"/>
              <w:left w:val="single" w:sz="8" w:space="0" w:color="E0E0E0"/>
              <w:bottom w:val="single" w:sz="8" w:space="0" w:color="AEAEAE"/>
              <w:right w:val="single" w:sz="8" w:space="0" w:color="E0E0E0"/>
            </w:tcBorders>
            <w:shd w:val="clear" w:color="auto" w:fill="FFFFFF"/>
          </w:tcPr>
          <w:p w14:paraId="6CE79DFF"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-25.247</w:t>
            </w:r>
          </w:p>
        </w:tc>
        <w:tc>
          <w:tcPr>
            <w:tcW w:w="1025" w:type="dxa"/>
            <w:tcBorders>
              <w:top w:val="single" w:sz="8" w:space="0" w:color="AEAEAE"/>
              <w:left w:val="single" w:sz="8" w:space="0" w:color="E0E0E0"/>
              <w:bottom w:val="single" w:sz="8" w:space="0" w:color="AEAEAE"/>
              <w:right w:val="nil"/>
            </w:tcBorders>
            <w:shd w:val="clear" w:color="auto" w:fill="FFFFFF"/>
          </w:tcPr>
          <w:p w14:paraId="0CA53A4C" w14:textId="77777777" w:rsidR="00515CAD" w:rsidRPr="007E3430" w:rsidRDefault="00515CAD"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.000</w:t>
            </w:r>
          </w:p>
        </w:tc>
      </w:tr>
    </w:tbl>
    <w:p w14:paraId="6359C775" w14:textId="77777777" w:rsidR="007E3430" w:rsidRPr="007E3430" w:rsidRDefault="007E3430" w:rsidP="007E3430">
      <w:pPr>
        <w:autoSpaceDE w:val="0"/>
        <w:autoSpaceDN w:val="0"/>
        <w:adjustRightInd w:val="0"/>
        <w:spacing w:after="0" w:line="400" w:lineRule="atLeast"/>
        <w:rPr>
          <w:rFonts w:ascii="Times New Roman" w:eastAsiaTheme="minorEastAsia" w:hAnsi="Times New Roman" w:cs="Times New Roman"/>
          <w:sz w:val="24"/>
          <w:szCs w:val="24"/>
          <w:lang w:eastAsia="ko-KR"/>
        </w:rPr>
      </w:pPr>
    </w:p>
    <w:tbl>
      <w:tblPr>
        <w:tblW w:w="73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95"/>
        <w:gridCol w:w="1024"/>
        <w:gridCol w:w="1086"/>
        <w:gridCol w:w="1469"/>
        <w:gridCol w:w="1469"/>
        <w:gridCol w:w="1469"/>
      </w:tblGrid>
      <w:tr w:rsidR="007E3430" w:rsidRPr="007E3430" w14:paraId="7677B9B3" w14:textId="77777777" w:rsidTr="0097751F">
        <w:trPr>
          <w:cantSplit/>
        </w:trPr>
        <w:tc>
          <w:tcPr>
            <w:tcW w:w="795" w:type="dxa"/>
            <w:tcBorders>
              <w:top w:val="single" w:sz="4" w:space="0" w:color="auto"/>
              <w:left w:val="nil"/>
              <w:bottom w:val="single" w:sz="8" w:space="0" w:color="152935"/>
              <w:right w:val="nil"/>
            </w:tcBorders>
            <w:shd w:val="clear" w:color="auto" w:fill="FFFFFF"/>
            <w:vAlign w:val="bottom"/>
          </w:tcPr>
          <w:p w14:paraId="0C50A6F6" w14:textId="77777777" w:rsidR="007E3430" w:rsidRPr="007E3430" w:rsidRDefault="007E3430"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Model</w:t>
            </w:r>
          </w:p>
        </w:tc>
        <w:tc>
          <w:tcPr>
            <w:tcW w:w="1024" w:type="dxa"/>
            <w:tcBorders>
              <w:top w:val="single" w:sz="4" w:space="0" w:color="auto"/>
              <w:left w:val="nil"/>
              <w:bottom w:val="single" w:sz="8" w:space="0" w:color="152935"/>
              <w:right w:val="single" w:sz="8" w:space="0" w:color="E0E0E0"/>
            </w:tcBorders>
            <w:shd w:val="clear" w:color="auto" w:fill="FFFFFF"/>
            <w:vAlign w:val="bottom"/>
          </w:tcPr>
          <w:p w14:paraId="0D21EE48" w14:textId="77777777" w:rsidR="007E3430" w:rsidRPr="007E3430" w:rsidRDefault="007E3430"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R</w:t>
            </w:r>
          </w:p>
        </w:tc>
        <w:tc>
          <w:tcPr>
            <w:tcW w:w="1086" w:type="dxa"/>
            <w:tcBorders>
              <w:top w:val="single" w:sz="4" w:space="0" w:color="auto"/>
              <w:left w:val="single" w:sz="8" w:space="0" w:color="E0E0E0"/>
              <w:bottom w:val="single" w:sz="8" w:space="0" w:color="152935"/>
              <w:right w:val="single" w:sz="8" w:space="0" w:color="E0E0E0"/>
            </w:tcBorders>
            <w:shd w:val="clear" w:color="auto" w:fill="FFFFFF"/>
            <w:vAlign w:val="bottom"/>
          </w:tcPr>
          <w:p w14:paraId="69BEFB7F" w14:textId="77777777" w:rsidR="007E3430" w:rsidRPr="007E3430" w:rsidRDefault="007E3430"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R Square</w:t>
            </w:r>
          </w:p>
        </w:tc>
        <w:tc>
          <w:tcPr>
            <w:tcW w:w="1469" w:type="dxa"/>
            <w:tcBorders>
              <w:top w:val="single" w:sz="4" w:space="0" w:color="auto"/>
              <w:left w:val="single" w:sz="8" w:space="0" w:color="E0E0E0"/>
              <w:bottom w:val="single" w:sz="8" w:space="0" w:color="152935"/>
              <w:right w:val="single" w:sz="8" w:space="0" w:color="E0E0E0"/>
            </w:tcBorders>
            <w:shd w:val="clear" w:color="auto" w:fill="FFFFFF"/>
            <w:vAlign w:val="bottom"/>
          </w:tcPr>
          <w:p w14:paraId="5EC331F1" w14:textId="77777777" w:rsidR="007E3430" w:rsidRPr="007E3430" w:rsidRDefault="007E3430"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Adjusted R Square</w:t>
            </w:r>
          </w:p>
        </w:tc>
        <w:tc>
          <w:tcPr>
            <w:tcW w:w="1469" w:type="dxa"/>
            <w:tcBorders>
              <w:top w:val="single" w:sz="4" w:space="0" w:color="auto"/>
              <w:left w:val="single" w:sz="8" w:space="0" w:color="E0E0E0"/>
              <w:bottom w:val="single" w:sz="8" w:space="0" w:color="152935"/>
              <w:right w:val="single" w:sz="8" w:space="0" w:color="E0E0E0"/>
            </w:tcBorders>
            <w:shd w:val="clear" w:color="auto" w:fill="FFFFFF"/>
            <w:vAlign w:val="bottom"/>
          </w:tcPr>
          <w:p w14:paraId="015FDF98" w14:textId="77777777" w:rsidR="007E3430" w:rsidRPr="007E3430" w:rsidRDefault="007E3430"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Std. Error of the Estimate</w:t>
            </w:r>
          </w:p>
        </w:tc>
        <w:tc>
          <w:tcPr>
            <w:tcW w:w="1469" w:type="dxa"/>
            <w:tcBorders>
              <w:top w:val="single" w:sz="4" w:space="0" w:color="auto"/>
              <w:left w:val="single" w:sz="8" w:space="0" w:color="E0E0E0"/>
              <w:bottom w:val="single" w:sz="8" w:space="0" w:color="152935"/>
              <w:right w:val="nil"/>
            </w:tcBorders>
            <w:shd w:val="clear" w:color="auto" w:fill="FFFFFF"/>
            <w:vAlign w:val="bottom"/>
          </w:tcPr>
          <w:p w14:paraId="5611730E" w14:textId="77777777" w:rsidR="007E3430" w:rsidRPr="007E3430" w:rsidRDefault="007E3430" w:rsidP="007E3430">
            <w:pPr>
              <w:autoSpaceDE w:val="0"/>
              <w:autoSpaceDN w:val="0"/>
              <w:adjustRightInd w:val="0"/>
              <w:spacing w:after="0" w:line="320" w:lineRule="atLeast"/>
              <w:ind w:left="60" w:right="60"/>
              <w:jc w:val="center"/>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Durbin-Watson</w:t>
            </w:r>
          </w:p>
        </w:tc>
      </w:tr>
      <w:tr w:rsidR="007E3430" w:rsidRPr="007E3430" w14:paraId="1DDA61B6" w14:textId="77777777" w:rsidTr="0097751F">
        <w:trPr>
          <w:cantSplit/>
        </w:trPr>
        <w:tc>
          <w:tcPr>
            <w:tcW w:w="795" w:type="dxa"/>
            <w:tcBorders>
              <w:top w:val="single" w:sz="8" w:space="0" w:color="152935"/>
              <w:left w:val="nil"/>
              <w:bottom w:val="single" w:sz="8" w:space="0" w:color="152935"/>
              <w:right w:val="nil"/>
            </w:tcBorders>
            <w:shd w:val="clear" w:color="auto" w:fill="E0E0E0"/>
          </w:tcPr>
          <w:p w14:paraId="6A1BF69F" w14:textId="70D5A460" w:rsidR="007E3430" w:rsidRPr="007E3430" w:rsidRDefault="007E3430" w:rsidP="007E3430">
            <w:pPr>
              <w:autoSpaceDE w:val="0"/>
              <w:autoSpaceDN w:val="0"/>
              <w:adjustRightInd w:val="0"/>
              <w:spacing w:after="0" w:line="320" w:lineRule="atLeast"/>
              <w:ind w:left="60" w:right="60"/>
              <w:rPr>
                <w:rFonts w:ascii="Times New Roman" w:eastAsiaTheme="minorEastAsia" w:hAnsi="Times New Roman" w:cs="Times New Roman"/>
                <w:sz w:val="24"/>
                <w:szCs w:val="24"/>
                <w:lang w:eastAsia="ko-KR"/>
              </w:rPr>
            </w:pPr>
          </w:p>
        </w:tc>
        <w:tc>
          <w:tcPr>
            <w:tcW w:w="1024" w:type="dxa"/>
            <w:tcBorders>
              <w:top w:val="single" w:sz="8" w:space="0" w:color="152935"/>
              <w:left w:val="nil"/>
              <w:bottom w:val="single" w:sz="8" w:space="0" w:color="152935"/>
              <w:right w:val="single" w:sz="8" w:space="0" w:color="E0E0E0"/>
            </w:tcBorders>
            <w:shd w:val="clear" w:color="auto" w:fill="FFFFFF"/>
          </w:tcPr>
          <w:p w14:paraId="4DD10F7F" w14:textId="1DCB5CAA" w:rsidR="007E3430" w:rsidRPr="007E3430" w:rsidRDefault="007E3430"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.725</w:t>
            </w:r>
          </w:p>
        </w:tc>
        <w:tc>
          <w:tcPr>
            <w:tcW w:w="1086" w:type="dxa"/>
            <w:tcBorders>
              <w:top w:val="single" w:sz="8" w:space="0" w:color="152935"/>
              <w:left w:val="single" w:sz="8" w:space="0" w:color="E0E0E0"/>
              <w:bottom w:val="single" w:sz="8" w:space="0" w:color="152935"/>
              <w:right w:val="single" w:sz="8" w:space="0" w:color="E0E0E0"/>
            </w:tcBorders>
            <w:shd w:val="clear" w:color="auto" w:fill="FFFFFF"/>
          </w:tcPr>
          <w:p w14:paraId="684C5DE4" w14:textId="77777777" w:rsidR="007E3430" w:rsidRPr="007E3430" w:rsidRDefault="007E3430"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.526</w:t>
            </w:r>
          </w:p>
        </w:tc>
        <w:tc>
          <w:tcPr>
            <w:tcW w:w="1469" w:type="dxa"/>
            <w:tcBorders>
              <w:top w:val="single" w:sz="8" w:space="0" w:color="152935"/>
              <w:left w:val="single" w:sz="8" w:space="0" w:color="E0E0E0"/>
              <w:bottom w:val="single" w:sz="8" w:space="0" w:color="152935"/>
              <w:right w:val="single" w:sz="8" w:space="0" w:color="E0E0E0"/>
            </w:tcBorders>
            <w:shd w:val="clear" w:color="auto" w:fill="FFFFFF"/>
          </w:tcPr>
          <w:p w14:paraId="54BADD1A" w14:textId="77777777" w:rsidR="007E3430" w:rsidRPr="007E3430" w:rsidRDefault="007E3430"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.525</w:t>
            </w:r>
          </w:p>
        </w:tc>
        <w:tc>
          <w:tcPr>
            <w:tcW w:w="1469" w:type="dxa"/>
            <w:tcBorders>
              <w:top w:val="single" w:sz="8" w:space="0" w:color="152935"/>
              <w:left w:val="single" w:sz="8" w:space="0" w:color="E0E0E0"/>
              <w:bottom w:val="single" w:sz="8" w:space="0" w:color="152935"/>
              <w:right w:val="single" w:sz="8" w:space="0" w:color="E0E0E0"/>
            </w:tcBorders>
            <w:shd w:val="clear" w:color="auto" w:fill="FFFFFF"/>
          </w:tcPr>
          <w:p w14:paraId="1FC11027" w14:textId="77777777" w:rsidR="007E3430" w:rsidRPr="007E3430" w:rsidRDefault="007E3430"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15.9011</w:t>
            </w:r>
          </w:p>
        </w:tc>
        <w:tc>
          <w:tcPr>
            <w:tcW w:w="1469" w:type="dxa"/>
            <w:tcBorders>
              <w:top w:val="single" w:sz="8" w:space="0" w:color="152935"/>
              <w:left w:val="single" w:sz="8" w:space="0" w:color="E0E0E0"/>
              <w:bottom w:val="single" w:sz="8" w:space="0" w:color="152935"/>
              <w:right w:val="nil"/>
            </w:tcBorders>
            <w:shd w:val="clear" w:color="auto" w:fill="FFFFFF"/>
          </w:tcPr>
          <w:p w14:paraId="4C957C9D" w14:textId="77777777" w:rsidR="007E3430" w:rsidRPr="007E3430" w:rsidRDefault="007E3430" w:rsidP="007E3430">
            <w:pPr>
              <w:autoSpaceDE w:val="0"/>
              <w:autoSpaceDN w:val="0"/>
              <w:adjustRightInd w:val="0"/>
              <w:spacing w:after="0" w:line="320" w:lineRule="atLeast"/>
              <w:ind w:left="60" w:right="60"/>
              <w:jc w:val="right"/>
              <w:rPr>
                <w:rFonts w:ascii="Times New Roman" w:eastAsiaTheme="minorEastAsia" w:hAnsi="Times New Roman" w:cs="Times New Roman"/>
                <w:sz w:val="24"/>
                <w:szCs w:val="24"/>
                <w:lang w:eastAsia="ko-KR"/>
              </w:rPr>
            </w:pPr>
            <w:r w:rsidRPr="007E3430">
              <w:rPr>
                <w:rFonts w:ascii="Times New Roman" w:eastAsiaTheme="minorEastAsia" w:hAnsi="Times New Roman" w:cs="Times New Roman"/>
                <w:sz w:val="24"/>
                <w:szCs w:val="24"/>
                <w:lang w:eastAsia="ko-KR"/>
              </w:rPr>
              <w:t>1.596</w:t>
            </w:r>
          </w:p>
        </w:tc>
      </w:tr>
    </w:tbl>
    <w:p w14:paraId="2675219E" w14:textId="7202175F" w:rsidR="00DC7981" w:rsidRDefault="00DC7981" w:rsidP="00031A3F">
      <w:pPr>
        <w:tabs>
          <w:tab w:val="left" w:pos="1991"/>
        </w:tabs>
        <w:rPr>
          <w:rFonts w:ascii="Times New Roman" w:hAnsi="Times New Roman" w:cs="Times New Roman"/>
          <w:sz w:val="24"/>
          <w:szCs w:val="24"/>
        </w:rPr>
      </w:pPr>
    </w:p>
    <w:p w14:paraId="0341880E" w14:textId="77777777" w:rsidR="00D03FE5" w:rsidRDefault="00D03FE5" w:rsidP="00031A3F">
      <w:pPr>
        <w:tabs>
          <w:tab w:val="left" w:pos="1991"/>
        </w:tabs>
        <w:rPr>
          <w:rFonts w:ascii="Times New Roman" w:hAnsi="Times New Roman" w:cs="Times New Roman"/>
          <w:sz w:val="24"/>
          <w:szCs w:val="24"/>
        </w:rPr>
      </w:pPr>
    </w:p>
    <w:p w14:paraId="14FA787A" w14:textId="77777777" w:rsidR="002B4001" w:rsidRDefault="002B4001" w:rsidP="00031A3F">
      <w:pPr>
        <w:tabs>
          <w:tab w:val="left" w:pos="1991"/>
        </w:tabs>
        <w:rPr>
          <w:rFonts w:ascii="Times New Roman" w:hAnsi="Times New Roman" w:cs="Times New Roman"/>
          <w:sz w:val="24"/>
          <w:szCs w:val="24"/>
        </w:rPr>
      </w:pPr>
    </w:p>
    <w:p w14:paraId="739B9F4A" w14:textId="77777777" w:rsidR="00A53DE9" w:rsidRDefault="00A53DE9">
      <w:pPr>
        <w:rPr>
          <w:rFonts w:ascii="Times New Roman" w:hAnsi="Times New Roman" w:cs="Times New Roman"/>
          <w:sz w:val="24"/>
          <w:szCs w:val="24"/>
        </w:rPr>
      </w:pPr>
      <w:r>
        <w:rPr>
          <w:rFonts w:ascii="Times New Roman" w:hAnsi="Times New Roman" w:cs="Times New Roman"/>
          <w:sz w:val="24"/>
          <w:szCs w:val="24"/>
        </w:rPr>
        <w:br w:type="page"/>
      </w:r>
    </w:p>
    <w:p w14:paraId="2E373DEC" w14:textId="59AD978B" w:rsidR="0071690F" w:rsidRDefault="0071690F" w:rsidP="0071690F">
      <w:pPr>
        <w:tabs>
          <w:tab w:val="left" w:pos="1991"/>
        </w:tabs>
        <w:rPr>
          <w:rFonts w:ascii="Times New Roman" w:hAnsi="Times New Roman" w:cs="Times New Roman"/>
          <w:sz w:val="24"/>
          <w:szCs w:val="24"/>
        </w:rPr>
      </w:pPr>
      <w:r>
        <w:rPr>
          <w:rFonts w:ascii="Times New Roman" w:hAnsi="Times New Roman" w:cs="Times New Roman"/>
          <w:sz w:val="24"/>
          <w:szCs w:val="24"/>
        </w:rPr>
        <w:lastRenderedPageBreak/>
        <w:t>VI Conclusions</w:t>
      </w:r>
      <w:r>
        <w:rPr>
          <w:rFonts w:ascii="Times New Roman" w:hAnsi="Times New Roman" w:cs="Times New Roman"/>
          <w:sz w:val="24"/>
          <w:szCs w:val="24"/>
        </w:rPr>
        <w:tab/>
      </w:r>
    </w:p>
    <w:p w14:paraId="0ECC43C4" w14:textId="5CD8DEFE" w:rsidR="0071690F" w:rsidRDefault="004B2F97"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Reasonably priced homes will</w:t>
      </w:r>
      <w:r w:rsidR="00CD123E">
        <w:rPr>
          <w:rFonts w:ascii="Times New Roman" w:eastAsiaTheme="minorEastAsia" w:hAnsi="Times New Roman" w:cs="Times New Roman"/>
          <w:sz w:val="24"/>
          <w:szCs w:val="24"/>
          <w:lang w:eastAsia="ko-KR"/>
        </w:rPr>
        <w:t>,</w:t>
      </w:r>
      <w:r>
        <w:rPr>
          <w:rFonts w:ascii="Times New Roman" w:eastAsiaTheme="minorEastAsia" w:hAnsi="Times New Roman" w:cs="Times New Roman"/>
          <w:sz w:val="24"/>
          <w:szCs w:val="24"/>
          <w:lang w:eastAsia="ko-KR"/>
        </w:rPr>
        <w:t xml:space="preserve"> </w:t>
      </w:r>
      <w:r w:rsidR="00CD123E">
        <w:rPr>
          <w:rFonts w:ascii="Times New Roman" w:eastAsiaTheme="minorEastAsia" w:hAnsi="Times New Roman" w:cs="Times New Roman"/>
          <w:sz w:val="24"/>
          <w:szCs w:val="24"/>
          <w:lang w:eastAsia="ko-KR"/>
        </w:rPr>
        <w:t xml:space="preserve">at least in 2019, </w:t>
      </w:r>
      <w:r>
        <w:rPr>
          <w:rFonts w:ascii="Times New Roman" w:eastAsiaTheme="minorEastAsia" w:hAnsi="Times New Roman" w:cs="Times New Roman"/>
          <w:sz w:val="24"/>
          <w:szCs w:val="24"/>
          <w:lang w:eastAsia="ko-KR"/>
        </w:rPr>
        <w:t>typically sell in 60 to 80 days, with many selling faster</w:t>
      </w:r>
      <w:r w:rsidR="00CD123E">
        <w:rPr>
          <w:rFonts w:ascii="Times New Roman" w:eastAsiaTheme="minorEastAsia" w:hAnsi="Times New Roman" w:cs="Times New Roman"/>
          <w:sz w:val="24"/>
          <w:szCs w:val="24"/>
          <w:lang w:eastAsia="ko-KR"/>
        </w:rPr>
        <w:t>,</w:t>
      </w:r>
      <w:r>
        <w:rPr>
          <w:rFonts w:ascii="Times New Roman" w:eastAsiaTheme="minorEastAsia" w:hAnsi="Times New Roman" w:cs="Times New Roman"/>
          <w:sz w:val="24"/>
          <w:szCs w:val="24"/>
          <w:lang w:eastAsia="ko-KR"/>
        </w:rPr>
        <w:t xml:space="preserve"> especially if listed in spring and early summer months. It is not unusual to see a home sell within 30 days today as many markets simply lack inventory</w:t>
      </w:r>
      <w:r w:rsidR="00B721FB">
        <w:rPr>
          <w:rFonts w:ascii="Times New Roman" w:eastAsiaTheme="minorEastAsia" w:hAnsi="Times New Roman" w:cs="Times New Roman"/>
          <w:sz w:val="24"/>
          <w:szCs w:val="24"/>
          <w:lang w:eastAsia="ko-KR"/>
        </w:rPr>
        <w:t>, especially for any home in the bottom half of the price tiers.</w:t>
      </w:r>
      <w:r>
        <w:rPr>
          <w:rFonts w:ascii="Times New Roman" w:eastAsiaTheme="minorEastAsia" w:hAnsi="Times New Roman" w:cs="Times New Roman"/>
          <w:sz w:val="24"/>
          <w:szCs w:val="24"/>
          <w:lang w:eastAsia="ko-KR"/>
        </w:rPr>
        <w:t xml:space="preserve">  </w:t>
      </w:r>
      <w:r w:rsidR="00B721FB">
        <w:rPr>
          <w:rFonts w:ascii="Times New Roman" w:eastAsiaTheme="minorEastAsia" w:hAnsi="Times New Roman" w:cs="Times New Roman"/>
          <w:sz w:val="24"/>
          <w:szCs w:val="24"/>
          <w:lang w:eastAsia="ko-KR"/>
        </w:rPr>
        <w:t>As of 2019, h</w:t>
      </w:r>
      <w:r>
        <w:rPr>
          <w:rFonts w:ascii="Times New Roman" w:eastAsiaTheme="minorEastAsia" w:hAnsi="Times New Roman" w:cs="Times New Roman"/>
          <w:sz w:val="24"/>
          <w:szCs w:val="24"/>
          <w:lang w:eastAsia="ko-KR"/>
        </w:rPr>
        <w:t xml:space="preserve">ome owners are sitting on low mortgage rates and reluctant to upgrade during an uncertain economic outlook. In markets like California, Proposition 13, also reduces the turnover of property and </w:t>
      </w:r>
      <w:r w:rsidR="00097A5D">
        <w:rPr>
          <w:rFonts w:ascii="Times New Roman" w:eastAsiaTheme="minorEastAsia" w:hAnsi="Times New Roman" w:cs="Times New Roman"/>
          <w:sz w:val="24"/>
          <w:szCs w:val="24"/>
          <w:lang w:eastAsia="ko-KR"/>
        </w:rPr>
        <w:t xml:space="preserve">impacts the lack of supply of existing resale homes on the market. </w:t>
      </w:r>
    </w:p>
    <w:p w14:paraId="1638A80E" w14:textId="77777777" w:rsidR="00097A5D" w:rsidRDefault="00097A5D"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p>
    <w:p w14:paraId="0C0FE990" w14:textId="2A9018E9" w:rsidR="00097A5D" w:rsidRDefault="00097A5D"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Generally, relatively higher priced homes within any given CBSA, take longer to sell, sometimes by a significant margin as these markets tends to be thinner</w:t>
      </w:r>
      <w:r w:rsidR="00B721FB">
        <w:rPr>
          <w:rFonts w:ascii="Times New Roman" w:eastAsiaTheme="minorEastAsia" w:hAnsi="Times New Roman" w:cs="Times New Roman"/>
          <w:sz w:val="24"/>
          <w:szCs w:val="24"/>
          <w:lang w:eastAsia="ko-KR"/>
        </w:rPr>
        <w:t xml:space="preserve"> and this is </w:t>
      </w:r>
      <w:r w:rsidR="00CD123E">
        <w:rPr>
          <w:rFonts w:ascii="Times New Roman" w:eastAsiaTheme="minorEastAsia" w:hAnsi="Times New Roman" w:cs="Times New Roman"/>
          <w:sz w:val="24"/>
          <w:szCs w:val="24"/>
          <w:lang w:eastAsia="ko-KR"/>
        </w:rPr>
        <w:t xml:space="preserve">also </w:t>
      </w:r>
      <w:r w:rsidR="00B721FB">
        <w:rPr>
          <w:rFonts w:ascii="Times New Roman" w:eastAsiaTheme="minorEastAsia" w:hAnsi="Times New Roman" w:cs="Times New Roman"/>
          <w:sz w:val="24"/>
          <w:szCs w:val="24"/>
          <w:lang w:eastAsia="ko-KR"/>
        </w:rPr>
        <w:t>where new housing production is often inserted</w:t>
      </w:r>
      <w:r>
        <w:rPr>
          <w:rFonts w:ascii="Times New Roman" w:eastAsiaTheme="minorEastAsia" w:hAnsi="Times New Roman" w:cs="Times New Roman"/>
          <w:sz w:val="24"/>
          <w:szCs w:val="24"/>
          <w:lang w:eastAsia="ko-KR"/>
        </w:rPr>
        <w:t xml:space="preserve">.  However, the average priced homes in higher priced CBSAs do not take longer to sell than </w:t>
      </w:r>
      <w:r w:rsidR="00B721FB">
        <w:rPr>
          <w:rFonts w:ascii="Times New Roman" w:eastAsiaTheme="minorEastAsia" w:hAnsi="Times New Roman" w:cs="Times New Roman"/>
          <w:sz w:val="24"/>
          <w:szCs w:val="24"/>
          <w:lang w:eastAsia="ko-KR"/>
        </w:rPr>
        <w:t xml:space="preserve">in </w:t>
      </w:r>
      <w:r>
        <w:rPr>
          <w:rFonts w:ascii="Times New Roman" w:eastAsiaTheme="minorEastAsia" w:hAnsi="Times New Roman" w:cs="Times New Roman"/>
          <w:sz w:val="24"/>
          <w:szCs w:val="24"/>
          <w:lang w:eastAsia="ko-KR"/>
        </w:rPr>
        <w:t xml:space="preserve">lower priced CBSAs, so this slower market effect is based on relative tiers within a market and not absolute by price tier and not across markets.  </w:t>
      </w:r>
    </w:p>
    <w:p w14:paraId="1AC5DD67" w14:textId="35165CBB" w:rsidR="00097A5D" w:rsidRDefault="00097A5D"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p>
    <w:p w14:paraId="35F03AB1" w14:textId="63AB932E" w:rsidR="00097A5D" w:rsidRDefault="00462A0F"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Asking price relative to market value matters a great deal, but is beyond the scope of the empirical analysis above.  Our past research suggests that typical list price to selling price ratios run 96% to 98% and so being within 5% of true market value is necessary to not deter potential buyers.  It is also known that buyers typically search within rounded off price ranges, so staying at or below typical thresholds is advisable.</w:t>
      </w:r>
      <w:r>
        <w:rPr>
          <w:rStyle w:val="FootnoteReference"/>
          <w:rFonts w:ascii="Times New Roman" w:eastAsiaTheme="minorEastAsia" w:hAnsi="Times New Roman" w:cs="Times New Roman"/>
          <w:sz w:val="24"/>
          <w:szCs w:val="24"/>
          <w:lang w:eastAsia="ko-KR"/>
        </w:rPr>
        <w:footnoteReference w:id="5"/>
      </w:r>
      <w:r>
        <w:rPr>
          <w:rFonts w:ascii="Times New Roman" w:eastAsiaTheme="minorEastAsia" w:hAnsi="Times New Roman" w:cs="Times New Roman"/>
          <w:sz w:val="24"/>
          <w:szCs w:val="24"/>
          <w:lang w:eastAsia="ko-KR"/>
        </w:rPr>
        <w:t xml:space="preserve">  For example, someone may search within a range of $250,000 to $300,000 or $750,000 to $800,000.  Getting into the most common search brackets is helpful but varies by metro market.</w:t>
      </w:r>
      <w:r w:rsidR="00B721FB">
        <w:rPr>
          <w:rFonts w:ascii="Times New Roman" w:eastAsiaTheme="minorEastAsia" w:hAnsi="Times New Roman" w:cs="Times New Roman"/>
          <w:sz w:val="24"/>
          <w:szCs w:val="24"/>
          <w:lang w:eastAsia="ko-KR"/>
        </w:rPr>
        <w:t xml:space="preserve">  Bidding wars may occur on some underpriced homes, resulting in selling prices above asking prices, but only in good to strong markets.</w:t>
      </w:r>
    </w:p>
    <w:p w14:paraId="20CD0760" w14:textId="12273C60" w:rsidR="00462A0F" w:rsidRDefault="00462A0F"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p>
    <w:p w14:paraId="0643E9D9" w14:textId="4E98EB6D" w:rsidR="00462A0F" w:rsidRDefault="008C76D2"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r>
        <w:rPr>
          <w:rFonts w:ascii="Times New Roman" w:eastAsiaTheme="minorEastAsia" w:hAnsi="Times New Roman" w:cs="Times New Roman"/>
          <w:sz w:val="24"/>
          <w:szCs w:val="24"/>
          <w:lang w:eastAsia="ko-KR"/>
        </w:rPr>
        <w:t>Seasonality matters a great deal as do market conditions</w:t>
      </w:r>
      <w:r w:rsidR="00CD123E">
        <w:rPr>
          <w:rFonts w:ascii="Times New Roman" w:eastAsiaTheme="minorEastAsia" w:hAnsi="Times New Roman" w:cs="Times New Roman"/>
          <w:sz w:val="24"/>
          <w:szCs w:val="24"/>
          <w:lang w:eastAsia="ko-KR"/>
        </w:rPr>
        <w:t xml:space="preserve"> reflected by months remaining inventory</w:t>
      </w:r>
      <w:r>
        <w:rPr>
          <w:rFonts w:ascii="Times New Roman" w:eastAsiaTheme="minorEastAsia" w:hAnsi="Times New Roman" w:cs="Times New Roman"/>
          <w:sz w:val="24"/>
          <w:szCs w:val="24"/>
          <w:lang w:eastAsia="ko-KR"/>
        </w:rPr>
        <w:t>.</w:t>
      </w:r>
      <w:r w:rsidR="00CD123E">
        <w:rPr>
          <w:rFonts w:ascii="Times New Roman" w:eastAsiaTheme="minorEastAsia" w:hAnsi="Times New Roman" w:cs="Times New Roman"/>
          <w:sz w:val="24"/>
          <w:szCs w:val="24"/>
          <w:lang w:eastAsia="ko-KR"/>
        </w:rPr>
        <w:t xml:space="preserve"> </w:t>
      </w:r>
      <w:r>
        <w:rPr>
          <w:rFonts w:ascii="Times New Roman" w:eastAsiaTheme="minorEastAsia" w:hAnsi="Times New Roman" w:cs="Times New Roman"/>
          <w:sz w:val="24"/>
          <w:szCs w:val="24"/>
          <w:lang w:eastAsia="ko-KR"/>
        </w:rPr>
        <w:t xml:space="preserve"> These are observable </w:t>
      </w:r>
      <w:r w:rsidR="00CD123E">
        <w:rPr>
          <w:rFonts w:ascii="Times New Roman" w:eastAsiaTheme="minorEastAsia" w:hAnsi="Times New Roman" w:cs="Times New Roman"/>
          <w:sz w:val="24"/>
          <w:szCs w:val="24"/>
          <w:lang w:eastAsia="ko-KR"/>
        </w:rPr>
        <w:t xml:space="preserve">and days on market is somewhat </w:t>
      </w:r>
      <w:r>
        <w:rPr>
          <w:rFonts w:ascii="Times New Roman" w:eastAsiaTheme="minorEastAsia" w:hAnsi="Times New Roman" w:cs="Times New Roman"/>
          <w:sz w:val="24"/>
          <w:szCs w:val="24"/>
          <w:lang w:eastAsia="ko-KR"/>
        </w:rPr>
        <w:t>predictable.  Sellers that wish the shortest days on market will put homes on the market in the spring and generally try and avoid weak, soft or distressed markets to the extent possible.  This can be monitored by watching market conditions over time, especially the months or remaining inventory.</w:t>
      </w:r>
    </w:p>
    <w:p w14:paraId="08C35E2A" w14:textId="77777777" w:rsidR="008C76D2" w:rsidRDefault="008C76D2"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bookmarkStart w:id="2" w:name="_GoBack"/>
      <w:bookmarkEnd w:id="2"/>
    </w:p>
    <w:p w14:paraId="3EFE191E" w14:textId="77777777" w:rsidR="00097A5D" w:rsidRPr="0071690F" w:rsidRDefault="00097A5D" w:rsidP="0071690F">
      <w:pPr>
        <w:autoSpaceDE w:val="0"/>
        <w:autoSpaceDN w:val="0"/>
        <w:adjustRightInd w:val="0"/>
        <w:spacing w:after="0" w:line="400" w:lineRule="atLeast"/>
        <w:rPr>
          <w:rFonts w:ascii="Times New Roman" w:eastAsiaTheme="minorEastAsia" w:hAnsi="Times New Roman" w:cs="Times New Roman"/>
          <w:sz w:val="24"/>
          <w:szCs w:val="24"/>
          <w:lang w:eastAsia="ko-KR"/>
        </w:rPr>
      </w:pPr>
    </w:p>
    <w:p w14:paraId="7A724096" w14:textId="483A2BD8" w:rsidR="004F1DAD" w:rsidRPr="00031A3F" w:rsidRDefault="00DC7981">
      <w:pPr>
        <w:rPr>
          <w:rFonts w:ascii="Times New Roman" w:hAnsi="Times New Roman" w:cs="Times New Roman"/>
          <w:b/>
          <w:bCs/>
          <w:sz w:val="24"/>
          <w:szCs w:val="24"/>
        </w:rPr>
      </w:pPr>
      <w:r>
        <w:rPr>
          <w:rFonts w:ascii="Times New Roman" w:hAnsi="Times New Roman" w:cs="Times New Roman"/>
          <w:b/>
          <w:bCs/>
          <w:sz w:val="24"/>
          <w:szCs w:val="24"/>
        </w:rPr>
        <w:br w:type="page"/>
      </w:r>
      <w:r w:rsidR="004F1DAD" w:rsidRPr="00031A3F">
        <w:rPr>
          <w:rFonts w:ascii="Times New Roman" w:hAnsi="Times New Roman" w:cs="Times New Roman"/>
          <w:b/>
          <w:bCs/>
          <w:sz w:val="24"/>
          <w:szCs w:val="24"/>
        </w:rPr>
        <w:lastRenderedPageBreak/>
        <w:t>References</w:t>
      </w:r>
    </w:p>
    <w:p w14:paraId="7B30EE33" w14:textId="77777777" w:rsidR="004F1DAD" w:rsidRDefault="004F1DAD" w:rsidP="004F1DAD">
      <w:pPr>
        <w:pStyle w:val="Default"/>
        <w:rPr>
          <w:color w:val="auto"/>
          <w:sz w:val="23"/>
          <w:szCs w:val="23"/>
        </w:rPr>
      </w:pPr>
      <w:r>
        <w:rPr>
          <w:color w:val="auto"/>
          <w:sz w:val="23"/>
          <w:szCs w:val="23"/>
        </w:rPr>
        <w:t xml:space="preserve">Anglin, P., Rutherford, R., &amp; Springer, T. 2003. The Trade-off between the Selling Price of Residential Properties and Time-on-the-Market: The Impact of Price Setting. </w:t>
      </w:r>
      <w:r>
        <w:rPr>
          <w:i/>
          <w:iCs/>
          <w:color w:val="auto"/>
          <w:sz w:val="23"/>
          <w:szCs w:val="23"/>
        </w:rPr>
        <w:t xml:space="preserve">Journal of Real Estate Finance and Economics </w:t>
      </w:r>
      <w:r>
        <w:rPr>
          <w:color w:val="auto"/>
          <w:sz w:val="23"/>
          <w:szCs w:val="23"/>
        </w:rPr>
        <w:t xml:space="preserve">26(1), 95-111. </w:t>
      </w:r>
    </w:p>
    <w:p w14:paraId="1F2F1EC7" w14:textId="77777777" w:rsidR="004F1DAD" w:rsidRDefault="004F1DAD" w:rsidP="004F1DAD">
      <w:pPr>
        <w:pStyle w:val="Default"/>
        <w:rPr>
          <w:color w:val="auto"/>
          <w:sz w:val="23"/>
          <w:szCs w:val="23"/>
        </w:rPr>
      </w:pPr>
    </w:p>
    <w:p w14:paraId="6DBC82B2" w14:textId="5FC715F2" w:rsidR="004F1DAD" w:rsidRDefault="004F1DAD" w:rsidP="004F1DAD">
      <w:pPr>
        <w:pStyle w:val="Default"/>
        <w:rPr>
          <w:color w:val="auto"/>
          <w:sz w:val="23"/>
          <w:szCs w:val="23"/>
        </w:rPr>
      </w:pPr>
      <w:r>
        <w:rPr>
          <w:color w:val="auto"/>
          <w:sz w:val="23"/>
          <w:szCs w:val="23"/>
        </w:rPr>
        <w:t xml:space="preserve">Arnold, M. A. 1999. Search, Bargaining and Optimal Asking Prices. </w:t>
      </w:r>
      <w:r>
        <w:rPr>
          <w:i/>
          <w:iCs/>
          <w:color w:val="auto"/>
          <w:sz w:val="23"/>
          <w:szCs w:val="23"/>
        </w:rPr>
        <w:t xml:space="preserve">Real Estate Economics </w:t>
      </w:r>
      <w:r>
        <w:rPr>
          <w:color w:val="auto"/>
          <w:sz w:val="23"/>
          <w:szCs w:val="23"/>
        </w:rPr>
        <w:t xml:space="preserve">27 (3), 453-481. </w:t>
      </w:r>
    </w:p>
    <w:p w14:paraId="73A1D933" w14:textId="23167623" w:rsidR="00462A0F" w:rsidRDefault="00462A0F" w:rsidP="004F1DAD">
      <w:pPr>
        <w:pStyle w:val="Default"/>
        <w:rPr>
          <w:color w:val="auto"/>
          <w:sz w:val="23"/>
          <w:szCs w:val="23"/>
        </w:rPr>
      </w:pPr>
    </w:p>
    <w:p w14:paraId="2FBED2E4" w14:textId="73809556" w:rsidR="00462A0F" w:rsidRDefault="00462A0F" w:rsidP="004F1DAD">
      <w:pPr>
        <w:pStyle w:val="Default"/>
        <w:rPr>
          <w:color w:val="auto"/>
          <w:sz w:val="23"/>
          <w:szCs w:val="23"/>
        </w:rPr>
      </w:pPr>
      <w:proofErr w:type="spellStart"/>
      <w:r>
        <w:rPr>
          <w:color w:val="auto"/>
          <w:sz w:val="23"/>
          <w:szCs w:val="23"/>
        </w:rPr>
        <w:t>Beracha</w:t>
      </w:r>
      <w:proofErr w:type="spellEnd"/>
      <w:r>
        <w:rPr>
          <w:color w:val="auto"/>
          <w:sz w:val="23"/>
          <w:szCs w:val="23"/>
        </w:rPr>
        <w:t>, E. and M. Seiler, 2014, “</w:t>
      </w:r>
      <w:r w:rsidRPr="00462A0F">
        <w:rPr>
          <w:color w:val="auto"/>
          <w:sz w:val="23"/>
          <w:szCs w:val="23"/>
        </w:rPr>
        <w:t>The Effect of Listing Price Strategy on Transaction Selling Prices</w:t>
      </w:r>
      <w:r>
        <w:rPr>
          <w:color w:val="auto"/>
          <w:sz w:val="23"/>
          <w:szCs w:val="23"/>
        </w:rPr>
        <w:t>” Journal of Real Estate Finance and Economics, 49:2.</w:t>
      </w:r>
    </w:p>
    <w:p w14:paraId="0BD03802" w14:textId="39D0ADBF" w:rsidR="006870DD" w:rsidRDefault="006870DD" w:rsidP="004F1DAD">
      <w:pPr>
        <w:pStyle w:val="Default"/>
        <w:spacing w:before="240"/>
        <w:rPr>
          <w:color w:val="auto"/>
          <w:sz w:val="23"/>
          <w:szCs w:val="23"/>
        </w:rPr>
      </w:pPr>
      <w:r>
        <w:rPr>
          <w:color w:val="auto"/>
          <w:sz w:val="23"/>
          <w:szCs w:val="23"/>
        </w:rPr>
        <w:t>Case, K. and R. Shiller 1988, The Behavior of Buyers in Boom and Post-boom Markets, NBER Working paper no. 2748, Oct. 1988.</w:t>
      </w:r>
    </w:p>
    <w:p w14:paraId="73C8E03C" w14:textId="662D7890" w:rsidR="006870DD" w:rsidRDefault="004F1DAD" w:rsidP="003A1A6F">
      <w:pPr>
        <w:pStyle w:val="Default"/>
        <w:spacing w:before="240" w:after="240"/>
        <w:rPr>
          <w:color w:val="auto"/>
          <w:sz w:val="23"/>
          <w:szCs w:val="23"/>
        </w:rPr>
      </w:pPr>
      <w:r>
        <w:rPr>
          <w:color w:val="auto"/>
          <w:sz w:val="23"/>
          <w:szCs w:val="23"/>
        </w:rPr>
        <w:t xml:space="preserve">Chen, Y., &amp; Rosenthal, R. W. 1996. On the Use of Ceiling-Price Commitments by Monopolists. </w:t>
      </w:r>
      <w:r>
        <w:rPr>
          <w:i/>
          <w:iCs/>
          <w:color w:val="auto"/>
          <w:sz w:val="23"/>
          <w:szCs w:val="23"/>
        </w:rPr>
        <w:t xml:space="preserve">The RAND Journal of Economics </w:t>
      </w:r>
      <w:r>
        <w:rPr>
          <w:color w:val="auto"/>
          <w:sz w:val="23"/>
          <w:szCs w:val="23"/>
        </w:rPr>
        <w:t xml:space="preserve">27 (2), 207-220. 23 </w:t>
      </w:r>
    </w:p>
    <w:p w14:paraId="2FA41C92" w14:textId="7E7BF091" w:rsidR="004F1DAD" w:rsidRPr="003A1A6F" w:rsidRDefault="004F1DAD" w:rsidP="003A1A6F">
      <w:pPr>
        <w:spacing w:after="240"/>
        <w:rPr>
          <w:rFonts w:ascii="Times New Roman" w:eastAsia="Times New Roman" w:hAnsi="Times New Roman" w:cs="Times New Roman"/>
          <w:szCs w:val="24"/>
        </w:rPr>
      </w:pPr>
      <w:proofErr w:type="spellStart"/>
      <w:r w:rsidRPr="003A1A6F">
        <w:rPr>
          <w:rFonts w:ascii="Times New Roman" w:eastAsia="Times New Roman" w:hAnsi="Times New Roman" w:cs="Times New Roman"/>
          <w:szCs w:val="24"/>
        </w:rPr>
        <w:t>Haurin</w:t>
      </w:r>
      <w:proofErr w:type="spellEnd"/>
      <w:r w:rsidR="006870DD" w:rsidRPr="003A1A6F">
        <w:rPr>
          <w:rFonts w:ascii="Times New Roman" w:eastAsia="Times New Roman" w:hAnsi="Times New Roman" w:cs="Times New Roman"/>
          <w:szCs w:val="24"/>
        </w:rPr>
        <w:t xml:space="preserve">, D. </w:t>
      </w:r>
      <w:r w:rsidRPr="003A1A6F">
        <w:rPr>
          <w:rFonts w:ascii="Times New Roman" w:eastAsia="Times New Roman" w:hAnsi="Times New Roman" w:cs="Times New Roman"/>
          <w:szCs w:val="24"/>
        </w:rPr>
        <w:t xml:space="preserve">The Duration of Marketing Time of Residential Housing, </w:t>
      </w:r>
      <w:r w:rsidRPr="003A1A6F">
        <w:rPr>
          <w:rFonts w:ascii="Times New Roman" w:eastAsia="Times New Roman" w:hAnsi="Times New Roman" w:cs="Times New Roman"/>
          <w:i/>
          <w:szCs w:val="24"/>
        </w:rPr>
        <w:t>Real Estate Economics</w:t>
      </w:r>
      <w:r w:rsidRPr="003A1A6F">
        <w:rPr>
          <w:rFonts w:ascii="Times New Roman" w:eastAsia="Times New Roman" w:hAnsi="Times New Roman" w:cs="Times New Roman"/>
          <w:szCs w:val="24"/>
        </w:rPr>
        <w:t>, (December 1988) Volume 16:4, 396-410.</w:t>
      </w:r>
    </w:p>
    <w:p w14:paraId="45E8DC50" w14:textId="77777777" w:rsidR="004F1DAD" w:rsidRDefault="004F1DAD" w:rsidP="004F1DAD">
      <w:pPr>
        <w:pStyle w:val="Default"/>
        <w:rPr>
          <w:color w:val="auto"/>
          <w:sz w:val="23"/>
          <w:szCs w:val="23"/>
        </w:rPr>
      </w:pPr>
      <w:proofErr w:type="spellStart"/>
      <w:r>
        <w:rPr>
          <w:color w:val="auto"/>
          <w:sz w:val="23"/>
          <w:szCs w:val="23"/>
        </w:rPr>
        <w:t>Follain</w:t>
      </w:r>
      <w:proofErr w:type="spellEnd"/>
      <w:r>
        <w:rPr>
          <w:color w:val="auto"/>
          <w:sz w:val="23"/>
          <w:szCs w:val="23"/>
        </w:rPr>
        <w:t xml:space="preserve">, James R., “A Look at Seller Behavior during Uncertain Times”, </w:t>
      </w:r>
      <w:hyperlink r:id="rId17" w:history="1">
        <w:r w:rsidRPr="00E271BF">
          <w:rPr>
            <w:rStyle w:val="Hyperlink"/>
          </w:rPr>
          <w:t>http://collateralanalytics.com/15/</w:t>
        </w:r>
      </w:hyperlink>
      <w:r>
        <w:rPr>
          <w:rStyle w:val="Hyperlink"/>
        </w:rPr>
        <w:t>.</w:t>
      </w:r>
    </w:p>
    <w:p w14:paraId="1158C9A6" w14:textId="77777777" w:rsidR="004F1DAD" w:rsidRDefault="004F1DAD" w:rsidP="004F1DAD">
      <w:pPr>
        <w:pStyle w:val="Default"/>
        <w:rPr>
          <w:color w:val="auto"/>
          <w:sz w:val="23"/>
          <w:szCs w:val="23"/>
        </w:rPr>
      </w:pPr>
    </w:p>
    <w:p w14:paraId="163C9DF4" w14:textId="77777777" w:rsidR="004F1DAD" w:rsidRDefault="004F1DAD" w:rsidP="004F1DAD">
      <w:pPr>
        <w:pStyle w:val="Default"/>
        <w:rPr>
          <w:color w:val="auto"/>
          <w:sz w:val="23"/>
          <w:szCs w:val="23"/>
        </w:rPr>
      </w:pPr>
      <w:proofErr w:type="spellStart"/>
      <w:r>
        <w:rPr>
          <w:color w:val="auto"/>
          <w:sz w:val="23"/>
          <w:szCs w:val="23"/>
        </w:rPr>
        <w:t>Geltner</w:t>
      </w:r>
      <w:proofErr w:type="spellEnd"/>
      <w:r>
        <w:rPr>
          <w:color w:val="auto"/>
          <w:sz w:val="23"/>
          <w:szCs w:val="23"/>
        </w:rPr>
        <w:t xml:space="preserve">, D., B.D. Kluger and N.G. Miller 1991. Optimal Price and Selling Effort from the Perspectives of the Broker and the Seller. </w:t>
      </w:r>
      <w:r>
        <w:rPr>
          <w:i/>
          <w:iCs/>
          <w:color w:val="auto"/>
          <w:sz w:val="23"/>
          <w:szCs w:val="23"/>
        </w:rPr>
        <w:t xml:space="preserve">Real Estate Economics </w:t>
      </w:r>
      <w:r>
        <w:rPr>
          <w:color w:val="auto"/>
          <w:sz w:val="23"/>
          <w:szCs w:val="23"/>
        </w:rPr>
        <w:t xml:space="preserve">19, 1-24. </w:t>
      </w:r>
    </w:p>
    <w:p w14:paraId="2E845968" w14:textId="77777777" w:rsidR="004F1DAD" w:rsidRDefault="004F1DAD" w:rsidP="004F1DAD">
      <w:pPr>
        <w:pStyle w:val="Default"/>
        <w:rPr>
          <w:color w:val="auto"/>
          <w:sz w:val="23"/>
          <w:szCs w:val="23"/>
        </w:rPr>
      </w:pPr>
    </w:p>
    <w:p w14:paraId="2666B45D" w14:textId="77777777" w:rsidR="004F1DAD" w:rsidRDefault="004F1DAD" w:rsidP="004F1DAD">
      <w:pPr>
        <w:pStyle w:val="Default"/>
        <w:rPr>
          <w:color w:val="auto"/>
          <w:sz w:val="23"/>
          <w:szCs w:val="23"/>
        </w:rPr>
      </w:pPr>
      <w:proofErr w:type="spellStart"/>
      <w:r w:rsidRPr="00B2083B">
        <w:rPr>
          <w:color w:val="auto"/>
          <w:sz w:val="23"/>
          <w:szCs w:val="23"/>
        </w:rPr>
        <w:t>Genesove</w:t>
      </w:r>
      <w:proofErr w:type="spellEnd"/>
      <w:r w:rsidRPr="00B2083B">
        <w:rPr>
          <w:color w:val="auto"/>
          <w:sz w:val="23"/>
          <w:szCs w:val="23"/>
        </w:rPr>
        <w:t>, D</w:t>
      </w:r>
      <w:r>
        <w:rPr>
          <w:color w:val="auto"/>
          <w:sz w:val="23"/>
          <w:szCs w:val="23"/>
        </w:rPr>
        <w:t>. and C.</w:t>
      </w:r>
      <w:r w:rsidRPr="00B2083B">
        <w:rPr>
          <w:color w:val="auto"/>
          <w:sz w:val="23"/>
          <w:szCs w:val="23"/>
        </w:rPr>
        <w:t xml:space="preserve"> Mayer. "Loss Aversion </w:t>
      </w:r>
      <w:proofErr w:type="gramStart"/>
      <w:r w:rsidRPr="00B2083B">
        <w:rPr>
          <w:color w:val="auto"/>
          <w:sz w:val="23"/>
          <w:szCs w:val="23"/>
        </w:rPr>
        <w:t>And</w:t>
      </w:r>
      <w:proofErr w:type="gramEnd"/>
      <w:r w:rsidRPr="00B2083B">
        <w:rPr>
          <w:color w:val="auto"/>
          <w:sz w:val="23"/>
          <w:szCs w:val="23"/>
        </w:rPr>
        <w:t xml:space="preserve"> Seller Behavior: Evidence </w:t>
      </w:r>
      <w:r>
        <w:rPr>
          <w:color w:val="auto"/>
          <w:sz w:val="23"/>
          <w:szCs w:val="23"/>
        </w:rPr>
        <w:t>f</w:t>
      </w:r>
      <w:r w:rsidRPr="00B2083B">
        <w:rPr>
          <w:color w:val="auto"/>
          <w:sz w:val="23"/>
          <w:szCs w:val="23"/>
        </w:rPr>
        <w:t xml:space="preserve">rom The Housing Market," </w:t>
      </w:r>
      <w:r w:rsidRPr="00B2083B">
        <w:rPr>
          <w:i/>
          <w:color w:val="auto"/>
          <w:sz w:val="23"/>
          <w:szCs w:val="23"/>
        </w:rPr>
        <w:t>Quarterly Journal of Economics</w:t>
      </w:r>
      <w:r w:rsidRPr="00B2083B">
        <w:rPr>
          <w:color w:val="auto"/>
          <w:sz w:val="23"/>
          <w:szCs w:val="23"/>
        </w:rPr>
        <w:t>, 2001, v116</w:t>
      </w:r>
      <w:r>
        <w:rPr>
          <w:color w:val="auto"/>
          <w:sz w:val="23"/>
          <w:szCs w:val="23"/>
        </w:rPr>
        <w:t xml:space="preserve"> </w:t>
      </w:r>
      <w:r w:rsidRPr="00B2083B">
        <w:rPr>
          <w:color w:val="auto"/>
          <w:sz w:val="23"/>
          <w:szCs w:val="23"/>
        </w:rPr>
        <w:t>(4,</w:t>
      </w:r>
      <w:r>
        <w:rPr>
          <w:color w:val="auto"/>
          <w:sz w:val="23"/>
          <w:szCs w:val="23"/>
        </w:rPr>
        <w:t xml:space="preserve"> </w:t>
      </w:r>
      <w:r w:rsidRPr="00B2083B">
        <w:rPr>
          <w:color w:val="auto"/>
          <w:sz w:val="23"/>
          <w:szCs w:val="23"/>
        </w:rPr>
        <w:t>Nov), 1233-1260</w:t>
      </w:r>
      <w:r>
        <w:rPr>
          <w:color w:val="auto"/>
          <w:sz w:val="23"/>
          <w:szCs w:val="23"/>
        </w:rPr>
        <w:t>.</w:t>
      </w:r>
    </w:p>
    <w:p w14:paraId="4D22157F" w14:textId="77777777" w:rsidR="004F1DAD" w:rsidRDefault="004F1DAD" w:rsidP="004F1DAD">
      <w:pPr>
        <w:pStyle w:val="Default"/>
        <w:rPr>
          <w:color w:val="auto"/>
          <w:sz w:val="23"/>
          <w:szCs w:val="23"/>
        </w:rPr>
      </w:pPr>
    </w:p>
    <w:p w14:paraId="2F9F8E71" w14:textId="77777777" w:rsidR="004F1DAD" w:rsidRDefault="004F1DAD" w:rsidP="004F1DAD">
      <w:pPr>
        <w:pStyle w:val="Default"/>
        <w:rPr>
          <w:color w:val="auto"/>
          <w:sz w:val="23"/>
          <w:szCs w:val="23"/>
        </w:rPr>
      </w:pPr>
      <w:r>
        <w:rPr>
          <w:color w:val="auto"/>
          <w:sz w:val="23"/>
          <w:szCs w:val="23"/>
        </w:rPr>
        <w:t xml:space="preserve">Glower, M., </w:t>
      </w:r>
      <w:proofErr w:type="spellStart"/>
      <w:r>
        <w:rPr>
          <w:color w:val="auto"/>
          <w:sz w:val="23"/>
          <w:szCs w:val="23"/>
        </w:rPr>
        <w:t>Haurin</w:t>
      </w:r>
      <w:proofErr w:type="spellEnd"/>
      <w:r>
        <w:rPr>
          <w:color w:val="auto"/>
          <w:sz w:val="23"/>
          <w:szCs w:val="23"/>
        </w:rPr>
        <w:t xml:space="preserve">, D., &amp; </w:t>
      </w:r>
      <w:proofErr w:type="spellStart"/>
      <w:r>
        <w:rPr>
          <w:color w:val="auto"/>
          <w:sz w:val="23"/>
          <w:szCs w:val="23"/>
        </w:rPr>
        <w:t>Hendershott</w:t>
      </w:r>
      <w:proofErr w:type="spellEnd"/>
      <w:r>
        <w:rPr>
          <w:color w:val="auto"/>
          <w:sz w:val="23"/>
          <w:szCs w:val="23"/>
        </w:rPr>
        <w:t xml:space="preserve">, P. 1998. Selling Time and Selling Price: The Influence of Seller Motivation. </w:t>
      </w:r>
      <w:r>
        <w:rPr>
          <w:i/>
          <w:iCs/>
          <w:color w:val="auto"/>
          <w:sz w:val="23"/>
          <w:szCs w:val="23"/>
        </w:rPr>
        <w:t xml:space="preserve">Real Estate Economics </w:t>
      </w:r>
      <w:r>
        <w:rPr>
          <w:color w:val="auto"/>
          <w:sz w:val="23"/>
          <w:szCs w:val="23"/>
        </w:rPr>
        <w:t xml:space="preserve">26 (4), 719-740. </w:t>
      </w:r>
    </w:p>
    <w:p w14:paraId="17284EB5" w14:textId="77777777" w:rsidR="004F1DAD" w:rsidRDefault="004F1DAD" w:rsidP="004F1DAD">
      <w:pPr>
        <w:pStyle w:val="Default"/>
        <w:rPr>
          <w:color w:val="auto"/>
          <w:sz w:val="23"/>
          <w:szCs w:val="23"/>
        </w:rPr>
      </w:pPr>
    </w:p>
    <w:p w14:paraId="00603E70" w14:textId="77777777" w:rsidR="004F1DAD" w:rsidRDefault="004F1DAD" w:rsidP="004F1DAD">
      <w:pPr>
        <w:pStyle w:val="Default"/>
        <w:rPr>
          <w:color w:val="auto"/>
          <w:sz w:val="23"/>
          <w:szCs w:val="23"/>
        </w:rPr>
      </w:pPr>
      <w:r w:rsidRPr="00B2083B">
        <w:rPr>
          <w:color w:val="auto"/>
          <w:sz w:val="23"/>
          <w:szCs w:val="23"/>
        </w:rPr>
        <w:t xml:space="preserve">Green, Richard K. &amp; Kerry D. </w:t>
      </w:r>
      <w:proofErr w:type="spellStart"/>
      <w:r w:rsidRPr="00B2083B">
        <w:rPr>
          <w:color w:val="auto"/>
          <w:sz w:val="23"/>
          <w:szCs w:val="23"/>
        </w:rPr>
        <w:t>Vandell</w:t>
      </w:r>
      <w:proofErr w:type="spellEnd"/>
      <w:r w:rsidRPr="00B2083B">
        <w:rPr>
          <w:color w:val="auto"/>
          <w:sz w:val="23"/>
          <w:szCs w:val="23"/>
        </w:rPr>
        <w:t>, 1998. "Optimal Asking Price and Bid Acceptance Strategies for Residential Sales (Revised)," Wisconsin-Madison CULER working papers 98-08, University of Wisconsin Center for Urban Land Economic Research.</w:t>
      </w:r>
    </w:p>
    <w:p w14:paraId="07480983" w14:textId="77777777" w:rsidR="004F1DAD" w:rsidRDefault="004F1DAD" w:rsidP="004F1DAD">
      <w:pPr>
        <w:pStyle w:val="Default"/>
        <w:rPr>
          <w:color w:val="auto"/>
          <w:sz w:val="23"/>
          <w:szCs w:val="23"/>
        </w:rPr>
      </w:pPr>
    </w:p>
    <w:p w14:paraId="71A18A41" w14:textId="77777777" w:rsidR="004F1DAD" w:rsidRPr="003A1A6F" w:rsidRDefault="004F1DAD" w:rsidP="004F1DAD">
      <w:pPr>
        <w:rPr>
          <w:rFonts w:ascii="Times New Roman" w:eastAsia="Times New Roman" w:hAnsi="Times New Roman" w:cs="Times New Roman"/>
          <w:szCs w:val="24"/>
        </w:rPr>
      </w:pPr>
      <w:r w:rsidRPr="003A1A6F">
        <w:rPr>
          <w:rFonts w:ascii="Times New Roman" w:eastAsia="Times New Roman" w:hAnsi="Times New Roman" w:cs="Times New Roman"/>
          <w:szCs w:val="24"/>
        </w:rPr>
        <w:t xml:space="preserve">Han, Lu and W. Strange, “Bidding Wars for Housing” </w:t>
      </w:r>
      <w:r w:rsidRPr="003A1A6F">
        <w:rPr>
          <w:rFonts w:ascii="Times New Roman" w:eastAsia="Times New Roman" w:hAnsi="Times New Roman" w:cs="Times New Roman"/>
          <w:i/>
          <w:szCs w:val="24"/>
        </w:rPr>
        <w:t>Real Estate Economics</w:t>
      </w:r>
      <w:r w:rsidRPr="003A1A6F">
        <w:rPr>
          <w:rFonts w:ascii="Times New Roman" w:eastAsia="Times New Roman" w:hAnsi="Times New Roman" w:cs="Times New Roman"/>
          <w:szCs w:val="24"/>
        </w:rPr>
        <w:t>, 42(1) 2014.</w:t>
      </w:r>
    </w:p>
    <w:p w14:paraId="42425586" w14:textId="77777777" w:rsidR="004F1DAD" w:rsidRPr="003A1A6F" w:rsidRDefault="004F1DAD" w:rsidP="004F1DAD">
      <w:pPr>
        <w:rPr>
          <w:rFonts w:ascii="Times New Roman" w:eastAsia="Times New Roman" w:hAnsi="Times New Roman" w:cs="Times New Roman"/>
          <w:szCs w:val="24"/>
        </w:rPr>
      </w:pPr>
      <w:r w:rsidRPr="003A1A6F">
        <w:rPr>
          <w:rFonts w:ascii="Times New Roman" w:eastAsia="Times New Roman" w:hAnsi="Times New Roman" w:cs="Times New Roman"/>
          <w:szCs w:val="24"/>
        </w:rPr>
        <w:t>Han, Lu and W. Strange, “What is the Role of Asking Price for a Home?” Working paper, University of Toronto, Oct. 21, 2013.</w:t>
      </w:r>
    </w:p>
    <w:p w14:paraId="05D7D4D8" w14:textId="77777777" w:rsidR="004F1DAD" w:rsidRDefault="004F1DAD" w:rsidP="004F1DAD">
      <w:pPr>
        <w:pStyle w:val="Default"/>
        <w:rPr>
          <w:color w:val="auto"/>
          <w:sz w:val="23"/>
          <w:szCs w:val="23"/>
        </w:rPr>
      </w:pPr>
      <w:proofErr w:type="spellStart"/>
      <w:r>
        <w:rPr>
          <w:color w:val="auto"/>
          <w:sz w:val="23"/>
          <w:szCs w:val="23"/>
        </w:rPr>
        <w:t>Haurin</w:t>
      </w:r>
      <w:proofErr w:type="spellEnd"/>
      <w:r>
        <w:rPr>
          <w:color w:val="auto"/>
          <w:sz w:val="23"/>
          <w:szCs w:val="23"/>
        </w:rPr>
        <w:t xml:space="preserve">, D. 1988. The Duration of Marketing Time of Residential Housing. </w:t>
      </w:r>
      <w:r>
        <w:rPr>
          <w:i/>
          <w:iCs/>
          <w:color w:val="auto"/>
          <w:sz w:val="23"/>
          <w:szCs w:val="23"/>
        </w:rPr>
        <w:t xml:space="preserve">Real Estate Economics </w:t>
      </w:r>
      <w:r>
        <w:rPr>
          <w:color w:val="auto"/>
          <w:sz w:val="23"/>
          <w:szCs w:val="23"/>
        </w:rPr>
        <w:t xml:space="preserve">16 (4), 396-410. </w:t>
      </w:r>
    </w:p>
    <w:p w14:paraId="440D09CE" w14:textId="77777777" w:rsidR="004F1DAD" w:rsidRDefault="004F1DAD" w:rsidP="004F1DAD">
      <w:pPr>
        <w:pStyle w:val="Default"/>
        <w:rPr>
          <w:color w:val="auto"/>
          <w:sz w:val="23"/>
          <w:szCs w:val="23"/>
        </w:rPr>
      </w:pPr>
    </w:p>
    <w:p w14:paraId="433E0B89" w14:textId="77777777" w:rsidR="004F1DAD" w:rsidRDefault="004F1DAD" w:rsidP="004F1DAD">
      <w:pPr>
        <w:pStyle w:val="Default"/>
        <w:rPr>
          <w:color w:val="auto"/>
          <w:sz w:val="23"/>
          <w:szCs w:val="23"/>
        </w:rPr>
      </w:pPr>
      <w:proofErr w:type="spellStart"/>
      <w:r>
        <w:rPr>
          <w:color w:val="auto"/>
          <w:sz w:val="23"/>
          <w:szCs w:val="23"/>
        </w:rPr>
        <w:t>Haurin</w:t>
      </w:r>
      <w:proofErr w:type="spellEnd"/>
      <w:r>
        <w:rPr>
          <w:color w:val="auto"/>
          <w:sz w:val="23"/>
          <w:szCs w:val="23"/>
        </w:rPr>
        <w:t xml:space="preserve">, D. R., </w:t>
      </w:r>
      <w:proofErr w:type="spellStart"/>
      <w:r>
        <w:rPr>
          <w:color w:val="auto"/>
          <w:sz w:val="23"/>
          <w:szCs w:val="23"/>
        </w:rPr>
        <w:t>Haurin</w:t>
      </w:r>
      <w:proofErr w:type="spellEnd"/>
      <w:r>
        <w:rPr>
          <w:color w:val="auto"/>
          <w:sz w:val="23"/>
          <w:szCs w:val="23"/>
        </w:rPr>
        <w:t xml:space="preserve">, J. L., </w:t>
      </w:r>
      <w:proofErr w:type="spellStart"/>
      <w:r>
        <w:rPr>
          <w:color w:val="auto"/>
          <w:sz w:val="23"/>
          <w:szCs w:val="23"/>
        </w:rPr>
        <w:t>Nadauld</w:t>
      </w:r>
      <w:proofErr w:type="spellEnd"/>
      <w:r>
        <w:rPr>
          <w:color w:val="auto"/>
          <w:sz w:val="23"/>
          <w:szCs w:val="23"/>
        </w:rPr>
        <w:t xml:space="preserve">, T., &amp; Sanders, A. B. 2010. List Prices, Sale Prices, and Marketing Time: An Application to U.S. Housing Markets. </w:t>
      </w:r>
      <w:r>
        <w:rPr>
          <w:i/>
          <w:iCs/>
          <w:color w:val="auto"/>
          <w:sz w:val="23"/>
          <w:szCs w:val="23"/>
        </w:rPr>
        <w:t xml:space="preserve">Real Estate Economics </w:t>
      </w:r>
      <w:r>
        <w:rPr>
          <w:color w:val="auto"/>
          <w:sz w:val="23"/>
          <w:szCs w:val="23"/>
        </w:rPr>
        <w:t xml:space="preserve">38(4), 659-685. </w:t>
      </w:r>
    </w:p>
    <w:p w14:paraId="0B134BDD" w14:textId="77777777" w:rsidR="003A1A6F" w:rsidRDefault="003A1A6F" w:rsidP="004F1DAD">
      <w:pPr>
        <w:spacing w:after="0" w:line="262" w:lineRule="auto"/>
        <w:ind w:left="238" w:hanging="238"/>
        <w:rPr>
          <w:rFonts w:ascii="Times New Roman" w:eastAsia="Times New Roman" w:hAnsi="Times New Roman" w:cs="Times New Roman"/>
          <w:szCs w:val="24"/>
        </w:rPr>
      </w:pPr>
    </w:p>
    <w:p w14:paraId="3BBEF87B" w14:textId="1508BBA4" w:rsidR="004F1DAD" w:rsidRPr="003A1A6F" w:rsidRDefault="004F1DAD" w:rsidP="003A1A6F">
      <w:pPr>
        <w:spacing w:after="0" w:line="240" w:lineRule="auto"/>
        <w:ind w:left="238" w:hanging="238"/>
        <w:rPr>
          <w:rFonts w:ascii="Times New Roman" w:eastAsia="Times New Roman" w:hAnsi="Times New Roman" w:cs="Times New Roman"/>
          <w:szCs w:val="24"/>
        </w:rPr>
      </w:pPr>
      <w:r w:rsidRPr="003A1A6F">
        <w:rPr>
          <w:rFonts w:ascii="Times New Roman" w:eastAsia="Times New Roman" w:hAnsi="Times New Roman" w:cs="Times New Roman"/>
          <w:szCs w:val="24"/>
        </w:rPr>
        <w:t xml:space="preserve">Hui, Eddie C.M., J.T.Y. Wong, and K.T. Wong “Marketing Time and Pricing Strategies” </w:t>
      </w:r>
      <w:r w:rsidRPr="003A1A6F">
        <w:rPr>
          <w:rFonts w:ascii="Times New Roman" w:eastAsia="Times New Roman" w:hAnsi="Times New Roman" w:cs="Times New Roman"/>
          <w:i/>
          <w:szCs w:val="24"/>
        </w:rPr>
        <w:t>Journal of Real Estate Research</w:t>
      </w:r>
      <w:r w:rsidRPr="003A1A6F">
        <w:rPr>
          <w:rFonts w:ascii="Times New Roman" w:eastAsia="Times New Roman" w:hAnsi="Times New Roman" w:cs="Times New Roman"/>
          <w:szCs w:val="24"/>
        </w:rPr>
        <w:t>, 34:3, 2012, 375-391.</w:t>
      </w:r>
    </w:p>
    <w:p w14:paraId="284F4D7E" w14:textId="77777777" w:rsidR="004F1DAD" w:rsidRDefault="004F1DAD" w:rsidP="003A1A6F">
      <w:pPr>
        <w:spacing w:before="7" w:line="240" w:lineRule="auto"/>
        <w:ind w:left="238" w:right="115" w:hanging="238"/>
        <w:rPr>
          <w:rFonts w:eastAsia="Times New Roman" w:cs="Times New Roman"/>
          <w:szCs w:val="24"/>
        </w:rPr>
      </w:pPr>
    </w:p>
    <w:p w14:paraId="055CA734" w14:textId="77777777" w:rsidR="004F1DAD" w:rsidRPr="003A1A6F" w:rsidRDefault="004F1DAD" w:rsidP="003A1A6F">
      <w:pPr>
        <w:spacing w:before="7" w:line="240" w:lineRule="auto"/>
        <w:ind w:left="238" w:right="115" w:hanging="238"/>
        <w:rPr>
          <w:rFonts w:ascii="Times New Roman" w:eastAsia="Times New Roman" w:hAnsi="Times New Roman" w:cs="Times New Roman"/>
          <w:szCs w:val="24"/>
        </w:rPr>
      </w:pPr>
      <w:r w:rsidRPr="003A1A6F">
        <w:rPr>
          <w:rFonts w:ascii="Times New Roman" w:eastAsia="Times New Roman" w:hAnsi="Times New Roman" w:cs="Times New Roman"/>
          <w:szCs w:val="24"/>
        </w:rPr>
        <w:t xml:space="preserve">J. </w:t>
      </w:r>
      <w:r w:rsidRPr="003A1A6F">
        <w:rPr>
          <w:rFonts w:ascii="Times New Roman" w:eastAsia="Times New Roman" w:hAnsi="Times New Roman" w:cs="Times New Roman"/>
          <w:spacing w:val="6"/>
          <w:szCs w:val="24"/>
        </w:rPr>
        <w:t xml:space="preserve"> </w:t>
      </w:r>
      <w:r w:rsidRPr="003A1A6F">
        <w:rPr>
          <w:rFonts w:ascii="Times New Roman" w:eastAsia="Times New Roman" w:hAnsi="Times New Roman" w:cs="Times New Roman"/>
          <w:szCs w:val="24"/>
        </w:rPr>
        <w:t xml:space="preserve">Cubin. </w:t>
      </w:r>
      <w:r w:rsidRPr="003A1A6F">
        <w:rPr>
          <w:rFonts w:ascii="Times New Roman" w:eastAsia="Times New Roman" w:hAnsi="Times New Roman" w:cs="Times New Roman"/>
          <w:spacing w:val="10"/>
          <w:szCs w:val="24"/>
        </w:rPr>
        <w:t xml:space="preserve"> </w:t>
      </w:r>
      <w:proofErr w:type="gramStart"/>
      <w:r w:rsidRPr="003A1A6F">
        <w:rPr>
          <w:rFonts w:ascii="Times New Roman" w:eastAsia="Times New Roman" w:hAnsi="Times New Roman" w:cs="Times New Roman"/>
          <w:szCs w:val="24"/>
        </w:rPr>
        <w:t xml:space="preserve">Price </w:t>
      </w:r>
      <w:r w:rsidRPr="003A1A6F">
        <w:rPr>
          <w:rFonts w:ascii="Times New Roman" w:eastAsia="Times New Roman" w:hAnsi="Times New Roman" w:cs="Times New Roman"/>
          <w:spacing w:val="5"/>
          <w:szCs w:val="24"/>
        </w:rPr>
        <w:t xml:space="preserve"> </w:t>
      </w:r>
      <w:r w:rsidRPr="003A1A6F">
        <w:rPr>
          <w:rFonts w:ascii="Times New Roman" w:eastAsia="Times New Roman" w:hAnsi="Times New Roman" w:cs="Times New Roman"/>
          <w:szCs w:val="24"/>
        </w:rPr>
        <w:t>Quality</w:t>
      </w:r>
      <w:proofErr w:type="gramEnd"/>
      <w:r w:rsidRPr="003A1A6F">
        <w:rPr>
          <w:rFonts w:ascii="Times New Roman" w:eastAsia="Times New Roman" w:hAnsi="Times New Roman" w:cs="Times New Roman"/>
          <w:szCs w:val="24"/>
        </w:rPr>
        <w:t xml:space="preserve">, </w:t>
      </w:r>
      <w:r w:rsidRPr="003A1A6F">
        <w:rPr>
          <w:rFonts w:ascii="Times New Roman" w:eastAsia="Times New Roman" w:hAnsi="Times New Roman" w:cs="Times New Roman"/>
          <w:spacing w:val="7"/>
          <w:szCs w:val="24"/>
        </w:rPr>
        <w:t xml:space="preserve"> </w:t>
      </w:r>
      <w:r w:rsidRPr="003A1A6F">
        <w:rPr>
          <w:rFonts w:ascii="Times New Roman" w:eastAsia="Times New Roman" w:hAnsi="Times New Roman" w:cs="Times New Roman"/>
          <w:szCs w:val="24"/>
        </w:rPr>
        <w:t xml:space="preserve">and </w:t>
      </w:r>
      <w:r w:rsidRPr="003A1A6F">
        <w:rPr>
          <w:rFonts w:ascii="Times New Roman" w:eastAsia="Times New Roman" w:hAnsi="Times New Roman" w:cs="Times New Roman"/>
          <w:spacing w:val="15"/>
          <w:szCs w:val="24"/>
        </w:rPr>
        <w:t xml:space="preserve"> </w:t>
      </w:r>
      <w:r w:rsidRPr="003A1A6F">
        <w:rPr>
          <w:rFonts w:ascii="Times New Roman" w:eastAsia="Times New Roman" w:hAnsi="Times New Roman" w:cs="Times New Roman"/>
          <w:szCs w:val="24"/>
        </w:rPr>
        <w:t xml:space="preserve">Selling </w:t>
      </w:r>
      <w:r w:rsidRPr="003A1A6F">
        <w:rPr>
          <w:rFonts w:ascii="Times New Roman" w:eastAsia="Times New Roman" w:hAnsi="Times New Roman" w:cs="Times New Roman"/>
          <w:spacing w:val="3"/>
          <w:szCs w:val="24"/>
        </w:rPr>
        <w:t xml:space="preserve"> </w:t>
      </w:r>
      <w:r w:rsidRPr="003A1A6F">
        <w:rPr>
          <w:rFonts w:ascii="Times New Roman" w:eastAsia="Times New Roman" w:hAnsi="Times New Roman" w:cs="Times New Roman"/>
          <w:szCs w:val="24"/>
        </w:rPr>
        <w:t xml:space="preserve">Time </w:t>
      </w:r>
      <w:r w:rsidRPr="003A1A6F">
        <w:rPr>
          <w:rFonts w:ascii="Times New Roman" w:eastAsia="Times New Roman" w:hAnsi="Times New Roman" w:cs="Times New Roman"/>
          <w:spacing w:val="9"/>
          <w:szCs w:val="24"/>
        </w:rPr>
        <w:t xml:space="preserve"> </w:t>
      </w:r>
      <w:r w:rsidRPr="003A1A6F">
        <w:rPr>
          <w:rFonts w:ascii="Times New Roman" w:eastAsia="Times New Roman" w:hAnsi="Times New Roman" w:cs="Times New Roman"/>
          <w:szCs w:val="24"/>
        </w:rPr>
        <w:t xml:space="preserve">in </w:t>
      </w:r>
      <w:r w:rsidRPr="003A1A6F">
        <w:rPr>
          <w:rFonts w:ascii="Times New Roman" w:eastAsia="Times New Roman" w:hAnsi="Times New Roman" w:cs="Times New Roman"/>
          <w:spacing w:val="15"/>
          <w:szCs w:val="24"/>
        </w:rPr>
        <w:t xml:space="preserve"> </w:t>
      </w:r>
      <w:r w:rsidRPr="003A1A6F">
        <w:rPr>
          <w:rFonts w:ascii="Times New Roman" w:eastAsia="Times New Roman" w:hAnsi="Times New Roman" w:cs="Times New Roman"/>
          <w:szCs w:val="24"/>
        </w:rPr>
        <w:t xml:space="preserve">the </w:t>
      </w:r>
      <w:r w:rsidRPr="003A1A6F">
        <w:rPr>
          <w:rFonts w:ascii="Times New Roman" w:eastAsia="Times New Roman" w:hAnsi="Times New Roman" w:cs="Times New Roman"/>
          <w:spacing w:val="8"/>
          <w:szCs w:val="24"/>
        </w:rPr>
        <w:t xml:space="preserve"> </w:t>
      </w:r>
      <w:r w:rsidRPr="003A1A6F">
        <w:rPr>
          <w:rFonts w:ascii="Times New Roman" w:eastAsia="Times New Roman" w:hAnsi="Times New Roman" w:cs="Times New Roman"/>
          <w:szCs w:val="24"/>
        </w:rPr>
        <w:t xml:space="preserve">Housing </w:t>
      </w:r>
      <w:r w:rsidRPr="003A1A6F">
        <w:rPr>
          <w:rFonts w:ascii="Times New Roman" w:eastAsia="Times New Roman" w:hAnsi="Times New Roman" w:cs="Times New Roman"/>
          <w:spacing w:val="16"/>
          <w:szCs w:val="24"/>
        </w:rPr>
        <w:t xml:space="preserve"> </w:t>
      </w:r>
      <w:r w:rsidRPr="003A1A6F">
        <w:rPr>
          <w:rFonts w:ascii="Times New Roman" w:eastAsia="Times New Roman" w:hAnsi="Times New Roman" w:cs="Times New Roman"/>
          <w:szCs w:val="24"/>
        </w:rPr>
        <w:t xml:space="preserve">Market. </w:t>
      </w:r>
      <w:r w:rsidRPr="003A1A6F">
        <w:rPr>
          <w:rFonts w:ascii="Times New Roman" w:eastAsia="Times New Roman" w:hAnsi="Times New Roman" w:cs="Times New Roman"/>
          <w:spacing w:val="7"/>
          <w:szCs w:val="24"/>
        </w:rPr>
        <w:t xml:space="preserve"> </w:t>
      </w:r>
      <w:r w:rsidRPr="003A1A6F">
        <w:rPr>
          <w:rFonts w:ascii="Times New Roman" w:eastAsia="Times New Roman" w:hAnsi="Times New Roman" w:cs="Times New Roman"/>
          <w:i/>
          <w:szCs w:val="24"/>
        </w:rPr>
        <w:t xml:space="preserve">Applied Economics </w:t>
      </w:r>
      <w:r w:rsidRPr="003A1A6F">
        <w:rPr>
          <w:rFonts w:ascii="Times New Roman" w:eastAsia="Times New Roman" w:hAnsi="Times New Roman" w:cs="Times New Roman"/>
          <w:szCs w:val="24"/>
        </w:rPr>
        <w:t>6</w:t>
      </w:r>
      <w:r w:rsidRPr="003A1A6F">
        <w:rPr>
          <w:rFonts w:ascii="Times New Roman" w:eastAsia="Times New Roman" w:hAnsi="Times New Roman" w:cs="Times New Roman"/>
          <w:spacing w:val="39"/>
          <w:szCs w:val="24"/>
        </w:rPr>
        <w:t xml:space="preserve"> </w:t>
      </w:r>
      <w:r w:rsidRPr="003A1A6F">
        <w:rPr>
          <w:rFonts w:ascii="Times New Roman" w:eastAsia="Times New Roman" w:hAnsi="Times New Roman" w:cs="Times New Roman"/>
          <w:szCs w:val="24"/>
        </w:rPr>
        <w:t>(1974), 171-</w:t>
      </w:r>
      <w:r w:rsidRPr="003A1A6F">
        <w:rPr>
          <w:rFonts w:ascii="Times New Roman" w:eastAsia="Times New Roman" w:hAnsi="Times New Roman" w:cs="Times New Roman"/>
          <w:w w:val="111"/>
          <w:szCs w:val="24"/>
        </w:rPr>
        <w:t xml:space="preserve"> </w:t>
      </w:r>
      <w:r w:rsidRPr="003A1A6F">
        <w:rPr>
          <w:rFonts w:ascii="Times New Roman" w:eastAsia="Times New Roman" w:hAnsi="Times New Roman" w:cs="Times New Roman"/>
          <w:szCs w:val="24"/>
        </w:rPr>
        <w:t>87.</w:t>
      </w:r>
    </w:p>
    <w:p w14:paraId="4E8733DB" w14:textId="77777777" w:rsidR="004F1DAD" w:rsidRPr="003A1A6F" w:rsidRDefault="004F1DAD" w:rsidP="003A1A6F">
      <w:pPr>
        <w:pStyle w:val="Default"/>
        <w:rPr>
          <w:color w:val="auto"/>
          <w:sz w:val="23"/>
          <w:szCs w:val="23"/>
        </w:rPr>
      </w:pPr>
      <w:r w:rsidRPr="003A1A6F">
        <w:rPr>
          <w:color w:val="auto"/>
          <w:sz w:val="23"/>
          <w:szCs w:val="23"/>
        </w:rPr>
        <w:t xml:space="preserve">Knight, J. R. 2002. Listing Price, Time on Market, and Ultimate Selling Price: Causes and Effects of Listing Price Changes. </w:t>
      </w:r>
      <w:r w:rsidRPr="003A1A6F">
        <w:rPr>
          <w:i/>
          <w:iCs/>
          <w:color w:val="auto"/>
          <w:sz w:val="23"/>
          <w:szCs w:val="23"/>
        </w:rPr>
        <w:t xml:space="preserve">Real Estate Economics </w:t>
      </w:r>
      <w:r w:rsidRPr="003A1A6F">
        <w:rPr>
          <w:color w:val="auto"/>
          <w:sz w:val="23"/>
          <w:szCs w:val="23"/>
        </w:rPr>
        <w:t xml:space="preserve">30 (2), 213-237. </w:t>
      </w:r>
    </w:p>
    <w:p w14:paraId="33DD3AB7" w14:textId="77777777" w:rsidR="004F1DAD" w:rsidRPr="003A1A6F" w:rsidRDefault="004F1DAD" w:rsidP="003A1A6F">
      <w:pPr>
        <w:pStyle w:val="Default"/>
        <w:rPr>
          <w:color w:val="auto"/>
          <w:sz w:val="23"/>
          <w:szCs w:val="23"/>
        </w:rPr>
      </w:pPr>
    </w:p>
    <w:p w14:paraId="4922565F" w14:textId="77777777" w:rsidR="004F1DAD" w:rsidRPr="003A1A6F" w:rsidRDefault="004F1DAD" w:rsidP="003A1A6F">
      <w:pPr>
        <w:pStyle w:val="Default"/>
        <w:rPr>
          <w:color w:val="auto"/>
          <w:sz w:val="23"/>
          <w:szCs w:val="23"/>
        </w:rPr>
      </w:pPr>
      <w:r w:rsidRPr="003A1A6F">
        <w:rPr>
          <w:color w:val="auto"/>
          <w:sz w:val="23"/>
          <w:szCs w:val="23"/>
        </w:rPr>
        <w:t xml:space="preserve">Merlo, A., &amp; </w:t>
      </w:r>
      <w:proofErr w:type="spellStart"/>
      <w:r w:rsidRPr="003A1A6F">
        <w:rPr>
          <w:color w:val="auto"/>
          <w:sz w:val="23"/>
          <w:szCs w:val="23"/>
        </w:rPr>
        <w:t>Ortalo-Magne</w:t>
      </w:r>
      <w:proofErr w:type="spellEnd"/>
      <w:r w:rsidRPr="003A1A6F">
        <w:rPr>
          <w:color w:val="auto"/>
          <w:sz w:val="23"/>
          <w:szCs w:val="23"/>
        </w:rPr>
        <w:t xml:space="preserve">, F. 2004. Bargaining over residential real estate: evidence from England. </w:t>
      </w:r>
      <w:r w:rsidRPr="003A1A6F">
        <w:rPr>
          <w:i/>
          <w:iCs/>
          <w:color w:val="auto"/>
          <w:sz w:val="23"/>
          <w:szCs w:val="23"/>
        </w:rPr>
        <w:t>Journal of Urban Economics 56</w:t>
      </w:r>
      <w:r w:rsidRPr="003A1A6F">
        <w:rPr>
          <w:color w:val="auto"/>
          <w:sz w:val="23"/>
          <w:szCs w:val="23"/>
        </w:rPr>
        <w:t xml:space="preserve">, 192-216. </w:t>
      </w:r>
    </w:p>
    <w:p w14:paraId="455856D3" w14:textId="77777777" w:rsidR="004F1DAD" w:rsidRPr="003A1A6F" w:rsidRDefault="004F1DAD" w:rsidP="003A1A6F">
      <w:pPr>
        <w:pStyle w:val="Default"/>
        <w:rPr>
          <w:color w:val="auto"/>
          <w:sz w:val="23"/>
          <w:szCs w:val="23"/>
        </w:rPr>
      </w:pPr>
    </w:p>
    <w:p w14:paraId="6907AE19" w14:textId="77777777" w:rsidR="004F1DAD" w:rsidRPr="003A1A6F" w:rsidRDefault="004F1DAD" w:rsidP="003A1A6F">
      <w:pPr>
        <w:spacing w:line="240" w:lineRule="auto"/>
        <w:ind w:right="138"/>
        <w:jc w:val="both"/>
        <w:rPr>
          <w:rFonts w:ascii="Times New Roman" w:hAnsi="Times New Roman" w:cs="Times New Roman"/>
          <w:color w:val="0000FF"/>
          <w:sz w:val="32"/>
          <w:szCs w:val="32"/>
        </w:rPr>
      </w:pPr>
      <w:r w:rsidRPr="003A1A6F">
        <w:rPr>
          <w:rFonts w:ascii="Times New Roman" w:eastAsia="Times New Roman" w:hAnsi="Times New Roman" w:cs="Times New Roman"/>
          <w:szCs w:val="24"/>
        </w:rPr>
        <w:t xml:space="preserve">Merlo, A. F. </w:t>
      </w:r>
      <w:proofErr w:type="spellStart"/>
      <w:r w:rsidRPr="003A1A6F">
        <w:rPr>
          <w:rFonts w:ascii="Times New Roman" w:eastAsia="Times New Roman" w:hAnsi="Times New Roman" w:cs="Times New Roman"/>
          <w:szCs w:val="24"/>
        </w:rPr>
        <w:t>Ortalo-Magne</w:t>
      </w:r>
      <w:proofErr w:type="spellEnd"/>
      <w:r w:rsidRPr="003A1A6F">
        <w:rPr>
          <w:rFonts w:ascii="Times New Roman" w:eastAsia="Times New Roman" w:hAnsi="Times New Roman" w:cs="Times New Roman"/>
          <w:szCs w:val="24"/>
        </w:rPr>
        <w:t xml:space="preserve">, &amp; J. Rust, “The Home Selling Problem: Theory and Evidence”, PIER Working Paper 13-006, </w:t>
      </w:r>
      <w:hyperlink r:id="rId18" w:history="1">
        <w:r w:rsidRPr="003A1A6F">
          <w:rPr>
            <w:rStyle w:val="Hyperlink"/>
            <w:rFonts w:ascii="Times New Roman" w:hAnsi="Times New Roman" w:cs="Times New Roman"/>
            <w:szCs w:val="32"/>
          </w:rPr>
          <w:t>http://ssrn.com/abstract=2209103</w:t>
        </w:r>
      </w:hyperlink>
      <w:r w:rsidRPr="003A1A6F">
        <w:rPr>
          <w:rFonts w:ascii="Times New Roman" w:hAnsi="Times New Roman" w:cs="Times New Roman"/>
          <w:szCs w:val="32"/>
        </w:rPr>
        <w:t>, Jan. 2013.</w:t>
      </w:r>
    </w:p>
    <w:p w14:paraId="5DD1880C" w14:textId="77777777" w:rsidR="004F1DAD" w:rsidRPr="003A1A6F" w:rsidRDefault="004F1DAD" w:rsidP="003A1A6F">
      <w:pPr>
        <w:spacing w:line="240" w:lineRule="auto"/>
        <w:jc w:val="both"/>
        <w:rPr>
          <w:rFonts w:ascii="Times New Roman" w:eastAsia="Times New Roman" w:hAnsi="Times New Roman" w:cs="Times New Roman"/>
          <w:w w:val="105"/>
          <w:szCs w:val="24"/>
        </w:rPr>
      </w:pPr>
      <w:r w:rsidRPr="003A1A6F">
        <w:rPr>
          <w:rFonts w:ascii="Times New Roman" w:eastAsia="Times New Roman" w:hAnsi="Times New Roman" w:cs="Times New Roman"/>
          <w:w w:val="95"/>
          <w:szCs w:val="24"/>
        </w:rPr>
        <w:t>Miller, N. G.</w:t>
      </w:r>
      <w:r w:rsidRPr="003A1A6F">
        <w:rPr>
          <w:rFonts w:ascii="Times New Roman" w:eastAsia="Times New Roman" w:hAnsi="Times New Roman" w:cs="Times New Roman"/>
          <w:spacing w:val="9"/>
          <w:w w:val="95"/>
          <w:szCs w:val="24"/>
        </w:rPr>
        <w:t xml:space="preserve"> </w:t>
      </w:r>
      <w:r w:rsidRPr="003A1A6F">
        <w:rPr>
          <w:rFonts w:ascii="Times New Roman" w:eastAsia="Times New Roman" w:hAnsi="Times New Roman" w:cs="Times New Roman"/>
          <w:w w:val="95"/>
          <w:szCs w:val="24"/>
        </w:rPr>
        <w:t>Time</w:t>
      </w:r>
      <w:r w:rsidRPr="003A1A6F">
        <w:rPr>
          <w:rFonts w:ascii="Times New Roman" w:eastAsia="Times New Roman" w:hAnsi="Times New Roman" w:cs="Times New Roman"/>
          <w:spacing w:val="6"/>
          <w:w w:val="95"/>
          <w:szCs w:val="24"/>
        </w:rPr>
        <w:t xml:space="preserve"> </w:t>
      </w:r>
      <w:r w:rsidRPr="003A1A6F">
        <w:rPr>
          <w:rFonts w:ascii="Times New Roman" w:eastAsia="Times New Roman" w:hAnsi="Times New Roman" w:cs="Times New Roman"/>
          <w:w w:val="95"/>
          <w:szCs w:val="24"/>
        </w:rPr>
        <w:t>on</w:t>
      </w:r>
      <w:r w:rsidRPr="003A1A6F">
        <w:rPr>
          <w:rFonts w:ascii="Times New Roman" w:eastAsia="Times New Roman" w:hAnsi="Times New Roman" w:cs="Times New Roman"/>
          <w:spacing w:val="25"/>
          <w:w w:val="95"/>
          <w:szCs w:val="24"/>
        </w:rPr>
        <w:t xml:space="preserve"> </w:t>
      </w:r>
      <w:r w:rsidRPr="003A1A6F">
        <w:rPr>
          <w:rFonts w:ascii="Times New Roman" w:eastAsia="Times New Roman" w:hAnsi="Times New Roman" w:cs="Times New Roman"/>
          <w:w w:val="95"/>
          <w:szCs w:val="24"/>
        </w:rPr>
        <w:t>the</w:t>
      </w:r>
      <w:r w:rsidRPr="003A1A6F">
        <w:rPr>
          <w:rFonts w:ascii="Times New Roman" w:eastAsia="Times New Roman" w:hAnsi="Times New Roman" w:cs="Times New Roman"/>
          <w:spacing w:val="16"/>
          <w:w w:val="95"/>
          <w:szCs w:val="24"/>
        </w:rPr>
        <w:t xml:space="preserve"> </w:t>
      </w:r>
      <w:r w:rsidRPr="003A1A6F">
        <w:rPr>
          <w:rFonts w:ascii="Times New Roman" w:eastAsia="Times New Roman" w:hAnsi="Times New Roman" w:cs="Times New Roman"/>
          <w:w w:val="95"/>
          <w:szCs w:val="24"/>
        </w:rPr>
        <w:t>Market</w:t>
      </w:r>
      <w:r w:rsidRPr="003A1A6F">
        <w:rPr>
          <w:rFonts w:ascii="Times New Roman" w:eastAsia="Times New Roman" w:hAnsi="Times New Roman" w:cs="Times New Roman"/>
          <w:spacing w:val="21"/>
          <w:w w:val="95"/>
          <w:szCs w:val="24"/>
        </w:rPr>
        <w:t xml:space="preserve"> </w:t>
      </w:r>
      <w:r w:rsidRPr="003A1A6F">
        <w:rPr>
          <w:rFonts w:ascii="Times New Roman" w:eastAsia="Times New Roman" w:hAnsi="Times New Roman" w:cs="Times New Roman"/>
          <w:w w:val="95"/>
          <w:szCs w:val="24"/>
        </w:rPr>
        <w:t>and</w:t>
      </w:r>
      <w:r w:rsidRPr="003A1A6F">
        <w:rPr>
          <w:rFonts w:ascii="Times New Roman" w:eastAsia="Times New Roman" w:hAnsi="Times New Roman" w:cs="Times New Roman"/>
          <w:spacing w:val="17"/>
          <w:w w:val="95"/>
          <w:szCs w:val="24"/>
        </w:rPr>
        <w:t xml:space="preserve"> </w:t>
      </w:r>
      <w:r w:rsidRPr="003A1A6F">
        <w:rPr>
          <w:rFonts w:ascii="Times New Roman" w:eastAsia="Times New Roman" w:hAnsi="Times New Roman" w:cs="Times New Roman"/>
          <w:w w:val="95"/>
          <w:szCs w:val="24"/>
        </w:rPr>
        <w:t>Selling</w:t>
      </w:r>
      <w:r w:rsidRPr="003A1A6F">
        <w:rPr>
          <w:rFonts w:ascii="Times New Roman" w:eastAsia="Times New Roman" w:hAnsi="Times New Roman" w:cs="Times New Roman"/>
          <w:spacing w:val="14"/>
          <w:w w:val="95"/>
          <w:szCs w:val="24"/>
        </w:rPr>
        <w:t xml:space="preserve"> </w:t>
      </w:r>
      <w:r w:rsidRPr="003A1A6F">
        <w:rPr>
          <w:rFonts w:ascii="Times New Roman" w:eastAsia="Times New Roman" w:hAnsi="Times New Roman" w:cs="Times New Roman"/>
          <w:w w:val="95"/>
          <w:szCs w:val="24"/>
        </w:rPr>
        <w:t>Price.</w:t>
      </w:r>
      <w:r w:rsidRPr="003A1A6F">
        <w:rPr>
          <w:rFonts w:ascii="Times New Roman" w:eastAsia="Times New Roman" w:hAnsi="Times New Roman" w:cs="Times New Roman"/>
          <w:spacing w:val="8"/>
          <w:w w:val="95"/>
          <w:szCs w:val="24"/>
        </w:rPr>
        <w:t xml:space="preserve"> </w:t>
      </w:r>
      <w:r w:rsidRPr="003A1A6F">
        <w:rPr>
          <w:rFonts w:ascii="Times New Roman" w:eastAsia="Times New Roman" w:hAnsi="Times New Roman" w:cs="Times New Roman"/>
          <w:i/>
          <w:w w:val="95"/>
          <w:szCs w:val="24"/>
        </w:rPr>
        <w:t>American Real</w:t>
      </w:r>
      <w:r w:rsidRPr="003A1A6F">
        <w:rPr>
          <w:rFonts w:ascii="Times New Roman" w:eastAsia="Times New Roman" w:hAnsi="Times New Roman" w:cs="Times New Roman"/>
          <w:i/>
          <w:spacing w:val="28"/>
          <w:w w:val="95"/>
          <w:szCs w:val="24"/>
        </w:rPr>
        <w:t xml:space="preserve"> </w:t>
      </w:r>
      <w:r w:rsidRPr="003A1A6F">
        <w:rPr>
          <w:rFonts w:ascii="Times New Roman" w:eastAsia="Times New Roman" w:hAnsi="Times New Roman" w:cs="Times New Roman"/>
          <w:i/>
          <w:w w:val="95"/>
          <w:szCs w:val="24"/>
        </w:rPr>
        <w:t>Estate</w:t>
      </w:r>
      <w:r w:rsidRPr="003A1A6F">
        <w:rPr>
          <w:rFonts w:ascii="Times New Roman" w:eastAsia="Times New Roman" w:hAnsi="Times New Roman" w:cs="Times New Roman"/>
          <w:i/>
          <w:spacing w:val="11"/>
          <w:w w:val="95"/>
          <w:szCs w:val="24"/>
        </w:rPr>
        <w:t xml:space="preserve">   </w:t>
      </w:r>
      <w:r w:rsidRPr="003A1A6F">
        <w:rPr>
          <w:rFonts w:ascii="Times New Roman" w:eastAsia="Times New Roman" w:hAnsi="Times New Roman" w:cs="Times New Roman"/>
          <w:i/>
          <w:w w:val="95"/>
          <w:szCs w:val="24"/>
        </w:rPr>
        <w:t>and</w:t>
      </w:r>
      <w:r w:rsidRPr="003A1A6F">
        <w:rPr>
          <w:rFonts w:ascii="Times New Roman" w:eastAsia="Times New Roman" w:hAnsi="Times New Roman" w:cs="Times New Roman"/>
          <w:i/>
          <w:spacing w:val="26"/>
          <w:w w:val="95"/>
          <w:szCs w:val="24"/>
        </w:rPr>
        <w:t xml:space="preserve"> </w:t>
      </w:r>
      <w:r w:rsidRPr="003A1A6F">
        <w:rPr>
          <w:rFonts w:ascii="Times New Roman" w:eastAsia="Times New Roman" w:hAnsi="Times New Roman" w:cs="Times New Roman"/>
          <w:i/>
          <w:w w:val="95"/>
          <w:szCs w:val="24"/>
        </w:rPr>
        <w:t>Urban</w:t>
      </w:r>
      <w:r w:rsidRPr="003A1A6F">
        <w:rPr>
          <w:rFonts w:ascii="Times New Roman" w:eastAsia="Times New Roman" w:hAnsi="Times New Roman" w:cs="Times New Roman"/>
          <w:i/>
          <w:spacing w:val="7"/>
          <w:w w:val="95"/>
          <w:szCs w:val="24"/>
        </w:rPr>
        <w:t xml:space="preserve"> </w:t>
      </w:r>
      <w:r w:rsidRPr="003A1A6F">
        <w:rPr>
          <w:rFonts w:ascii="Times New Roman" w:eastAsia="Times New Roman" w:hAnsi="Times New Roman" w:cs="Times New Roman"/>
          <w:i/>
          <w:w w:val="95"/>
          <w:szCs w:val="24"/>
        </w:rPr>
        <w:t>Economics</w:t>
      </w:r>
      <w:r w:rsidRPr="003A1A6F">
        <w:rPr>
          <w:rFonts w:ascii="Times New Roman" w:eastAsia="Times New Roman" w:hAnsi="Times New Roman" w:cs="Times New Roman"/>
          <w:i/>
          <w:spacing w:val="25"/>
          <w:w w:val="95"/>
          <w:szCs w:val="24"/>
        </w:rPr>
        <w:t xml:space="preserve"> </w:t>
      </w:r>
      <w:r w:rsidRPr="003A1A6F">
        <w:rPr>
          <w:rFonts w:ascii="Times New Roman" w:eastAsia="Times New Roman" w:hAnsi="Times New Roman" w:cs="Times New Roman"/>
          <w:i/>
          <w:w w:val="95"/>
          <w:szCs w:val="24"/>
        </w:rPr>
        <w:t xml:space="preserve">Association </w:t>
      </w:r>
      <w:r w:rsidRPr="003A1A6F">
        <w:rPr>
          <w:rFonts w:ascii="Times New Roman" w:eastAsia="Times New Roman" w:hAnsi="Times New Roman" w:cs="Times New Roman"/>
          <w:i/>
          <w:w w:val="105"/>
          <w:szCs w:val="24"/>
        </w:rPr>
        <w:t>Journal</w:t>
      </w:r>
      <w:r w:rsidRPr="003A1A6F">
        <w:rPr>
          <w:rFonts w:ascii="Times New Roman" w:eastAsia="Times New Roman" w:hAnsi="Times New Roman" w:cs="Times New Roman"/>
          <w:i/>
          <w:spacing w:val="35"/>
          <w:w w:val="105"/>
          <w:szCs w:val="24"/>
        </w:rPr>
        <w:t xml:space="preserve"> (Real Estate Economics) </w:t>
      </w:r>
      <w:r w:rsidRPr="003A1A6F">
        <w:rPr>
          <w:rFonts w:ascii="Times New Roman" w:eastAsia="Times New Roman" w:hAnsi="Times New Roman" w:cs="Times New Roman"/>
          <w:w w:val="105"/>
          <w:szCs w:val="24"/>
        </w:rPr>
        <w:t>6</w:t>
      </w:r>
      <w:r w:rsidRPr="003A1A6F">
        <w:rPr>
          <w:rFonts w:ascii="Times New Roman" w:eastAsia="Times New Roman" w:hAnsi="Times New Roman" w:cs="Times New Roman"/>
          <w:spacing w:val="2"/>
          <w:w w:val="105"/>
          <w:szCs w:val="24"/>
        </w:rPr>
        <w:t xml:space="preserve"> </w:t>
      </w:r>
      <w:r w:rsidRPr="003A1A6F">
        <w:rPr>
          <w:rFonts w:ascii="Times New Roman" w:eastAsia="Times New Roman" w:hAnsi="Times New Roman" w:cs="Times New Roman"/>
          <w:w w:val="105"/>
          <w:szCs w:val="24"/>
        </w:rPr>
        <w:t>(Summer</w:t>
      </w:r>
      <w:r w:rsidRPr="003A1A6F">
        <w:rPr>
          <w:rFonts w:ascii="Times New Roman" w:eastAsia="Times New Roman" w:hAnsi="Times New Roman" w:cs="Times New Roman"/>
          <w:spacing w:val="18"/>
          <w:w w:val="105"/>
          <w:szCs w:val="24"/>
        </w:rPr>
        <w:t xml:space="preserve"> </w:t>
      </w:r>
      <w:r w:rsidRPr="003A1A6F">
        <w:rPr>
          <w:rFonts w:ascii="Times New Roman" w:eastAsia="Times New Roman" w:hAnsi="Times New Roman" w:cs="Times New Roman"/>
          <w:w w:val="105"/>
          <w:szCs w:val="24"/>
        </w:rPr>
        <w:t>1978),</w:t>
      </w:r>
      <w:r w:rsidRPr="003A1A6F">
        <w:rPr>
          <w:rFonts w:ascii="Times New Roman" w:eastAsia="Times New Roman" w:hAnsi="Times New Roman" w:cs="Times New Roman"/>
          <w:spacing w:val="-12"/>
          <w:w w:val="105"/>
          <w:szCs w:val="24"/>
        </w:rPr>
        <w:t xml:space="preserve"> </w:t>
      </w:r>
      <w:r w:rsidRPr="003A1A6F">
        <w:rPr>
          <w:rFonts w:ascii="Times New Roman" w:eastAsia="Times New Roman" w:hAnsi="Times New Roman" w:cs="Times New Roman"/>
          <w:w w:val="105"/>
          <w:szCs w:val="24"/>
        </w:rPr>
        <w:t>64-73.</w:t>
      </w:r>
    </w:p>
    <w:p w14:paraId="7CC1D6E2" w14:textId="510CDBEF" w:rsidR="00BE7B3E" w:rsidRPr="003A1A6F" w:rsidRDefault="00BE7B3E" w:rsidP="003A1A6F">
      <w:pPr>
        <w:spacing w:line="240" w:lineRule="auto"/>
        <w:jc w:val="both"/>
        <w:rPr>
          <w:rFonts w:ascii="Times New Roman" w:eastAsia="Times New Roman" w:hAnsi="Times New Roman" w:cs="Times New Roman"/>
          <w:w w:val="105"/>
          <w:szCs w:val="24"/>
        </w:rPr>
      </w:pPr>
      <w:r w:rsidRPr="003A1A6F">
        <w:rPr>
          <w:rFonts w:ascii="Times New Roman" w:eastAsia="Times New Roman" w:hAnsi="Times New Roman" w:cs="Times New Roman"/>
          <w:w w:val="105"/>
          <w:szCs w:val="24"/>
        </w:rPr>
        <w:t xml:space="preserve">Miller, N.G. and Rice, P. "A Note on the Differentiation of Market Participants by Search Costs," </w:t>
      </w:r>
      <w:r w:rsidRPr="003A1A6F">
        <w:rPr>
          <w:rFonts w:ascii="Times New Roman" w:eastAsia="Times New Roman" w:hAnsi="Times New Roman" w:cs="Times New Roman"/>
          <w:w w:val="105"/>
          <w:szCs w:val="24"/>
          <w:u w:val="single"/>
        </w:rPr>
        <w:t>Journal of Economic Letters</w:t>
      </w:r>
      <w:r w:rsidRPr="003A1A6F">
        <w:rPr>
          <w:rFonts w:ascii="Times New Roman" w:eastAsia="Times New Roman" w:hAnsi="Times New Roman" w:cs="Times New Roman"/>
          <w:w w:val="105"/>
          <w:szCs w:val="24"/>
        </w:rPr>
        <w:t>, Fall, l98l.</w:t>
      </w:r>
    </w:p>
    <w:p w14:paraId="726EC43C" w14:textId="77777777" w:rsidR="004F1DAD" w:rsidRPr="003A1A6F" w:rsidRDefault="004F1DAD" w:rsidP="003A1A6F">
      <w:pPr>
        <w:spacing w:after="0" w:line="240" w:lineRule="auto"/>
        <w:rPr>
          <w:rFonts w:ascii="Times New Roman" w:eastAsia="Times New Roman" w:hAnsi="Times New Roman" w:cs="Times New Roman"/>
          <w:szCs w:val="24"/>
        </w:rPr>
      </w:pPr>
      <w:r w:rsidRPr="003A1A6F">
        <w:rPr>
          <w:rFonts w:ascii="Times New Roman" w:eastAsia="Times New Roman" w:hAnsi="Times New Roman" w:cs="Times New Roman"/>
          <w:szCs w:val="20"/>
        </w:rPr>
        <w:t xml:space="preserve">Miller, N.G., V. </w:t>
      </w:r>
      <w:proofErr w:type="spellStart"/>
      <w:r w:rsidRPr="003A1A6F">
        <w:rPr>
          <w:rFonts w:ascii="Times New Roman" w:eastAsia="Times New Roman" w:hAnsi="Times New Roman" w:cs="Times New Roman"/>
          <w:szCs w:val="20"/>
        </w:rPr>
        <w:t>Sah</w:t>
      </w:r>
      <w:proofErr w:type="spellEnd"/>
      <w:r w:rsidRPr="003A1A6F">
        <w:rPr>
          <w:rFonts w:ascii="Times New Roman" w:eastAsia="Times New Roman" w:hAnsi="Times New Roman" w:cs="Times New Roman"/>
          <w:szCs w:val="20"/>
        </w:rPr>
        <w:t xml:space="preserve">, M. </w:t>
      </w:r>
      <w:proofErr w:type="spellStart"/>
      <w:r w:rsidRPr="003A1A6F">
        <w:rPr>
          <w:rFonts w:ascii="Times New Roman" w:eastAsia="Times New Roman" w:hAnsi="Times New Roman" w:cs="Times New Roman"/>
          <w:szCs w:val="20"/>
        </w:rPr>
        <w:t>Sklarz</w:t>
      </w:r>
      <w:proofErr w:type="spellEnd"/>
      <w:r w:rsidRPr="003A1A6F">
        <w:rPr>
          <w:rFonts w:ascii="Times New Roman" w:eastAsia="Times New Roman" w:hAnsi="Times New Roman" w:cs="Times New Roman"/>
          <w:szCs w:val="20"/>
        </w:rPr>
        <w:t xml:space="preserve">, and S. </w:t>
      </w:r>
      <w:proofErr w:type="spellStart"/>
      <w:proofErr w:type="gramStart"/>
      <w:r w:rsidRPr="003A1A6F">
        <w:rPr>
          <w:rFonts w:ascii="Times New Roman" w:eastAsia="Times New Roman" w:hAnsi="Times New Roman" w:cs="Times New Roman"/>
          <w:szCs w:val="20"/>
        </w:rPr>
        <w:t>Pampulov</w:t>
      </w:r>
      <w:proofErr w:type="spellEnd"/>
      <w:r w:rsidRPr="003A1A6F">
        <w:rPr>
          <w:rFonts w:ascii="Times New Roman" w:eastAsia="Times New Roman" w:hAnsi="Times New Roman" w:cs="Times New Roman"/>
          <w:szCs w:val="20"/>
        </w:rPr>
        <w:t xml:space="preserve">  “</w:t>
      </w:r>
      <w:proofErr w:type="gramEnd"/>
      <w:r w:rsidRPr="003A1A6F">
        <w:rPr>
          <w:rFonts w:ascii="Times New Roman" w:eastAsia="Times New Roman" w:hAnsi="Times New Roman" w:cs="Times New Roman"/>
          <w:szCs w:val="20"/>
        </w:rPr>
        <w:t xml:space="preserve">Is there Seasonality in Home Prices – Evidence from CBSAs”, </w:t>
      </w:r>
      <w:r w:rsidRPr="003A1A6F">
        <w:rPr>
          <w:rFonts w:ascii="Times New Roman" w:eastAsia="Times New Roman" w:hAnsi="Times New Roman" w:cs="Times New Roman"/>
          <w:i/>
          <w:szCs w:val="20"/>
        </w:rPr>
        <w:t>Journal of Housing Research</w:t>
      </w:r>
      <w:r w:rsidRPr="003A1A6F">
        <w:rPr>
          <w:rFonts w:ascii="Times New Roman" w:eastAsia="Times New Roman" w:hAnsi="Times New Roman" w:cs="Times New Roman"/>
          <w:szCs w:val="20"/>
        </w:rPr>
        <w:t>, Vol. 22, No. 1, pp 1-17, 2012.</w:t>
      </w:r>
    </w:p>
    <w:p w14:paraId="4932CA66" w14:textId="77777777" w:rsidR="003A1A6F" w:rsidRDefault="003A1A6F" w:rsidP="003A1A6F">
      <w:pPr>
        <w:spacing w:line="240" w:lineRule="auto"/>
        <w:jc w:val="both"/>
        <w:rPr>
          <w:rFonts w:ascii="Times New Roman" w:eastAsia="Times New Roman" w:hAnsi="Times New Roman" w:cs="Times New Roman"/>
          <w:w w:val="105"/>
          <w:szCs w:val="24"/>
        </w:rPr>
      </w:pPr>
    </w:p>
    <w:p w14:paraId="103C2967" w14:textId="48037F2D" w:rsidR="004F1DAD" w:rsidRPr="003A1A6F" w:rsidRDefault="004F1DAD" w:rsidP="003A1A6F">
      <w:pPr>
        <w:spacing w:line="240" w:lineRule="auto"/>
        <w:jc w:val="both"/>
        <w:rPr>
          <w:rFonts w:ascii="Times New Roman" w:eastAsia="Times New Roman" w:hAnsi="Times New Roman" w:cs="Times New Roman"/>
          <w:w w:val="105"/>
          <w:szCs w:val="24"/>
        </w:rPr>
      </w:pPr>
      <w:r w:rsidRPr="003A1A6F">
        <w:rPr>
          <w:rFonts w:ascii="Times New Roman" w:eastAsia="Times New Roman" w:hAnsi="Times New Roman" w:cs="Times New Roman"/>
          <w:w w:val="105"/>
          <w:szCs w:val="24"/>
        </w:rPr>
        <w:t xml:space="preserve">Miller, N. G. and M. </w:t>
      </w:r>
      <w:proofErr w:type="spellStart"/>
      <w:r w:rsidRPr="003A1A6F">
        <w:rPr>
          <w:rFonts w:ascii="Times New Roman" w:eastAsia="Times New Roman" w:hAnsi="Times New Roman" w:cs="Times New Roman"/>
          <w:w w:val="105"/>
          <w:szCs w:val="24"/>
        </w:rPr>
        <w:t>Sklarz</w:t>
      </w:r>
      <w:proofErr w:type="spellEnd"/>
      <w:r w:rsidRPr="003A1A6F">
        <w:rPr>
          <w:rFonts w:ascii="Times New Roman" w:eastAsia="Times New Roman" w:hAnsi="Times New Roman" w:cs="Times New Roman"/>
          <w:w w:val="105"/>
          <w:szCs w:val="24"/>
        </w:rPr>
        <w:t xml:space="preserve"> "Pricing Strategies and Residential Property Selling Prices," with Michael A. </w:t>
      </w:r>
      <w:proofErr w:type="spellStart"/>
      <w:r w:rsidRPr="003A1A6F">
        <w:rPr>
          <w:rFonts w:ascii="Times New Roman" w:eastAsia="Times New Roman" w:hAnsi="Times New Roman" w:cs="Times New Roman"/>
          <w:w w:val="105"/>
          <w:szCs w:val="24"/>
        </w:rPr>
        <w:t>Sklarz</w:t>
      </w:r>
      <w:proofErr w:type="spellEnd"/>
      <w:r w:rsidRPr="003A1A6F">
        <w:rPr>
          <w:rFonts w:ascii="Times New Roman" w:eastAsia="Times New Roman" w:hAnsi="Times New Roman" w:cs="Times New Roman"/>
          <w:w w:val="105"/>
          <w:szCs w:val="24"/>
        </w:rPr>
        <w:t xml:space="preserve">, </w:t>
      </w:r>
      <w:r w:rsidRPr="003A1A6F">
        <w:rPr>
          <w:rFonts w:ascii="Times New Roman" w:eastAsia="Times New Roman" w:hAnsi="Times New Roman" w:cs="Times New Roman"/>
          <w:i/>
          <w:w w:val="105"/>
          <w:szCs w:val="24"/>
        </w:rPr>
        <w:t>The Journal of Real Estate Research.</w:t>
      </w:r>
      <w:r w:rsidRPr="003A1A6F">
        <w:rPr>
          <w:rFonts w:ascii="Times New Roman" w:eastAsia="Times New Roman" w:hAnsi="Times New Roman" w:cs="Times New Roman"/>
          <w:w w:val="105"/>
          <w:szCs w:val="24"/>
        </w:rPr>
        <w:t xml:space="preserve">  Vol. 2, No. 1, Fall, 1987. </w:t>
      </w:r>
    </w:p>
    <w:p w14:paraId="65952417" w14:textId="77777777" w:rsidR="004F1DAD" w:rsidRPr="003A1A6F" w:rsidRDefault="004F1DAD" w:rsidP="004F1DAD">
      <w:pPr>
        <w:spacing w:after="0" w:line="240" w:lineRule="auto"/>
        <w:jc w:val="both"/>
        <w:rPr>
          <w:rFonts w:ascii="Times New Roman" w:eastAsia="Times New Roman" w:hAnsi="Times New Roman" w:cs="Times New Roman"/>
          <w:szCs w:val="20"/>
        </w:rPr>
      </w:pPr>
      <w:r w:rsidRPr="003A1A6F">
        <w:rPr>
          <w:rFonts w:ascii="Times New Roman" w:eastAsia="Times New Roman" w:hAnsi="Times New Roman" w:cs="Times New Roman"/>
          <w:w w:val="105"/>
          <w:szCs w:val="24"/>
        </w:rPr>
        <w:t xml:space="preserve">Miller, N. G. and M. </w:t>
      </w:r>
      <w:proofErr w:type="spellStart"/>
      <w:r w:rsidRPr="003A1A6F">
        <w:rPr>
          <w:rFonts w:ascii="Times New Roman" w:eastAsia="Times New Roman" w:hAnsi="Times New Roman" w:cs="Times New Roman"/>
          <w:w w:val="105"/>
          <w:szCs w:val="24"/>
        </w:rPr>
        <w:t>Sklarz</w:t>
      </w:r>
      <w:proofErr w:type="spellEnd"/>
      <w:r w:rsidRPr="003A1A6F">
        <w:rPr>
          <w:rFonts w:ascii="Times New Roman" w:eastAsia="Times New Roman" w:hAnsi="Times New Roman" w:cs="Times New Roman"/>
          <w:w w:val="105"/>
          <w:szCs w:val="24"/>
        </w:rPr>
        <w:t xml:space="preserve"> </w:t>
      </w:r>
      <w:r w:rsidRPr="003A1A6F">
        <w:rPr>
          <w:rFonts w:ascii="Times New Roman" w:eastAsia="Times New Roman" w:hAnsi="Times New Roman" w:cs="Times New Roman"/>
          <w:szCs w:val="20"/>
        </w:rPr>
        <w:t xml:space="preserve">"Leading Indicators of Housing Market Price Trends," </w:t>
      </w:r>
      <w:r w:rsidRPr="003A1A6F">
        <w:rPr>
          <w:rFonts w:ascii="Times New Roman" w:eastAsia="Times New Roman" w:hAnsi="Times New Roman" w:cs="Times New Roman"/>
          <w:i/>
          <w:szCs w:val="20"/>
        </w:rPr>
        <w:t>The Journal of Real Estate Research</w:t>
      </w:r>
      <w:r w:rsidRPr="003A1A6F">
        <w:rPr>
          <w:rFonts w:ascii="Times New Roman" w:eastAsia="Times New Roman" w:hAnsi="Times New Roman" w:cs="Times New Roman"/>
          <w:szCs w:val="20"/>
        </w:rPr>
        <w:t>, Vol. 1 No. 1 Fall, 1986.</w:t>
      </w:r>
    </w:p>
    <w:p w14:paraId="25966B70" w14:textId="77777777" w:rsidR="004F1DAD" w:rsidRPr="003A1A6F" w:rsidRDefault="004F1DAD" w:rsidP="004F1DAD">
      <w:pPr>
        <w:pStyle w:val="Default"/>
        <w:rPr>
          <w:color w:val="auto"/>
          <w:sz w:val="23"/>
          <w:szCs w:val="23"/>
        </w:rPr>
      </w:pPr>
    </w:p>
    <w:p w14:paraId="16A45C71" w14:textId="77777777" w:rsidR="004F1DAD" w:rsidRPr="003A1A6F" w:rsidRDefault="004F1DAD" w:rsidP="004F1DAD">
      <w:pPr>
        <w:pStyle w:val="Default"/>
        <w:rPr>
          <w:color w:val="auto"/>
          <w:sz w:val="23"/>
          <w:szCs w:val="23"/>
        </w:rPr>
      </w:pPr>
      <w:proofErr w:type="spellStart"/>
      <w:r w:rsidRPr="003A1A6F">
        <w:rPr>
          <w:color w:val="auto"/>
          <w:sz w:val="23"/>
          <w:szCs w:val="23"/>
        </w:rPr>
        <w:t>Novy</w:t>
      </w:r>
      <w:proofErr w:type="spellEnd"/>
      <w:r w:rsidRPr="003A1A6F">
        <w:rPr>
          <w:color w:val="auto"/>
          <w:sz w:val="23"/>
          <w:szCs w:val="23"/>
        </w:rPr>
        <w:t xml:space="preserve">-Marx, R. 2009. Hot and Cold Markets of Homes. </w:t>
      </w:r>
      <w:r w:rsidRPr="003A1A6F">
        <w:rPr>
          <w:i/>
          <w:iCs/>
          <w:color w:val="auto"/>
          <w:sz w:val="23"/>
          <w:szCs w:val="23"/>
        </w:rPr>
        <w:t xml:space="preserve">Real Estate Economics </w:t>
      </w:r>
      <w:r w:rsidRPr="003A1A6F">
        <w:rPr>
          <w:color w:val="auto"/>
          <w:sz w:val="23"/>
          <w:szCs w:val="23"/>
        </w:rPr>
        <w:t xml:space="preserve">37(1), 1-22. </w:t>
      </w:r>
    </w:p>
    <w:p w14:paraId="50F465AA" w14:textId="77777777" w:rsidR="003A1A6F" w:rsidRDefault="003A1A6F" w:rsidP="004F1DAD">
      <w:pPr>
        <w:spacing w:line="240" w:lineRule="auto"/>
        <w:ind w:right="138"/>
        <w:jc w:val="both"/>
        <w:rPr>
          <w:rFonts w:ascii="Times New Roman" w:eastAsia="Times New Roman" w:hAnsi="Times New Roman" w:cs="Times New Roman"/>
          <w:szCs w:val="24"/>
        </w:rPr>
      </w:pPr>
    </w:p>
    <w:p w14:paraId="1D312AFE" w14:textId="3C8B8EDC" w:rsidR="004F1DAD" w:rsidRPr="003A1A6F" w:rsidRDefault="004F1DAD" w:rsidP="004F1DAD">
      <w:pPr>
        <w:spacing w:line="240" w:lineRule="auto"/>
        <w:ind w:right="138"/>
        <w:jc w:val="both"/>
        <w:rPr>
          <w:rFonts w:ascii="Times New Roman" w:eastAsia="Times New Roman" w:hAnsi="Times New Roman" w:cs="Times New Roman"/>
          <w:szCs w:val="24"/>
        </w:rPr>
      </w:pPr>
      <w:r w:rsidRPr="003A1A6F">
        <w:rPr>
          <w:rFonts w:ascii="Times New Roman" w:eastAsia="Times New Roman" w:hAnsi="Times New Roman" w:cs="Times New Roman"/>
          <w:szCs w:val="24"/>
        </w:rPr>
        <w:t xml:space="preserve">P. Anglin, R. Rutherford and T. Springer, “The Trade-Off between the Selling Price of Residential Properties and Time-on-the-Market: The Impact of Price Setting”, </w:t>
      </w:r>
      <w:r w:rsidRPr="003A1A6F">
        <w:rPr>
          <w:rFonts w:ascii="Times New Roman" w:eastAsia="Times New Roman" w:hAnsi="Times New Roman" w:cs="Times New Roman"/>
          <w:i/>
          <w:szCs w:val="24"/>
        </w:rPr>
        <w:t>Journal of Real Estate Finance and Economics</w:t>
      </w:r>
      <w:r w:rsidRPr="003A1A6F">
        <w:rPr>
          <w:rFonts w:ascii="Times New Roman" w:eastAsia="Times New Roman" w:hAnsi="Times New Roman" w:cs="Times New Roman"/>
          <w:szCs w:val="24"/>
        </w:rPr>
        <w:t>, 26:1, 95-111.</w:t>
      </w:r>
    </w:p>
    <w:p w14:paraId="024B26DF" w14:textId="26864CDC" w:rsidR="004F1DAD" w:rsidRPr="003A1A6F" w:rsidRDefault="004F1DAD" w:rsidP="004F1DAD">
      <w:pPr>
        <w:pStyle w:val="Default"/>
        <w:rPr>
          <w:color w:val="auto"/>
          <w:sz w:val="23"/>
          <w:szCs w:val="23"/>
        </w:rPr>
      </w:pPr>
      <w:r w:rsidRPr="003A1A6F">
        <w:rPr>
          <w:color w:val="auto"/>
          <w:sz w:val="23"/>
          <w:szCs w:val="23"/>
        </w:rPr>
        <w:t xml:space="preserve">Sass, T. R. 1988. A note on optimal price cutting behavior under demand uncertainty. </w:t>
      </w:r>
      <w:r w:rsidRPr="003A1A6F">
        <w:rPr>
          <w:i/>
          <w:iCs/>
          <w:color w:val="auto"/>
          <w:sz w:val="23"/>
          <w:szCs w:val="23"/>
        </w:rPr>
        <w:t xml:space="preserve">The Review of Economics and Statistics </w:t>
      </w:r>
      <w:r w:rsidRPr="003A1A6F">
        <w:rPr>
          <w:color w:val="auto"/>
          <w:sz w:val="23"/>
          <w:szCs w:val="23"/>
        </w:rPr>
        <w:t xml:space="preserve">70(2), 336-339. </w:t>
      </w:r>
    </w:p>
    <w:p w14:paraId="093F66CC" w14:textId="60574F8A" w:rsidR="003D2D93" w:rsidRPr="003A1A6F" w:rsidRDefault="003D2D93" w:rsidP="004F1DAD">
      <w:pPr>
        <w:pStyle w:val="Default"/>
        <w:rPr>
          <w:color w:val="auto"/>
          <w:sz w:val="23"/>
          <w:szCs w:val="23"/>
        </w:rPr>
      </w:pPr>
    </w:p>
    <w:p w14:paraId="3C8A73B9" w14:textId="7B4E4EF6" w:rsidR="003D2D93" w:rsidRPr="003A1A6F" w:rsidRDefault="003D2D93" w:rsidP="003D2D93">
      <w:pPr>
        <w:pStyle w:val="Default"/>
        <w:rPr>
          <w:rFonts w:eastAsia="Times New Roman"/>
          <w:w w:val="105"/>
        </w:rPr>
      </w:pPr>
      <w:proofErr w:type="spellStart"/>
      <w:r w:rsidRPr="003A1A6F">
        <w:rPr>
          <w:color w:val="auto"/>
          <w:sz w:val="23"/>
          <w:szCs w:val="23"/>
        </w:rPr>
        <w:t>Sklarz</w:t>
      </w:r>
      <w:proofErr w:type="spellEnd"/>
      <w:r w:rsidRPr="003A1A6F">
        <w:rPr>
          <w:color w:val="auto"/>
          <w:sz w:val="23"/>
          <w:szCs w:val="23"/>
        </w:rPr>
        <w:t xml:space="preserve">, M. J. </w:t>
      </w:r>
      <w:proofErr w:type="spellStart"/>
      <w:r w:rsidRPr="003A1A6F">
        <w:rPr>
          <w:color w:val="auto"/>
          <w:sz w:val="23"/>
          <w:szCs w:val="23"/>
        </w:rPr>
        <w:t>Follain</w:t>
      </w:r>
      <w:proofErr w:type="spellEnd"/>
      <w:r w:rsidRPr="003A1A6F">
        <w:rPr>
          <w:color w:val="auto"/>
          <w:sz w:val="23"/>
          <w:szCs w:val="23"/>
        </w:rPr>
        <w:t xml:space="preserve"> and N. Miller </w:t>
      </w:r>
      <w:r w:rsidRPr="003A1A6F">
        <w:rPr>
          <w:rFonts w:eastAsia="Times New Roman"/>
          <w:w w:val="105"/>
        </w:rPr>
        <w:t xml:space="preserve">“A New Way to Define Real Estate Market Condition” 2015. See </w:t>
      </w:r>
      <w:hyperlink r:id="rId19" w:history="1">
        <w:r w:rsidRPr="003A1A6F">
          <w:rPr>
            <w:rStyle w:val="Hyperlink"/>
            <w:rFonts w:eastAsia="Times New Roman"/>
            <w:w w:val="105"/>
          </w:rPr>
          <w:t>https://www.collateralanalytics.com/blog/2015/09/01/a-new-way-to-define-real-estate-market-condition/</w:t>
        </w:r>
      </w:hyperlink>
      <w:r w:rsidRPr="003A1A6F">
        <w:rPr>
          <w:rFonts w:eastAsia="Times New Roman"/>
          <w:w w:val="105"/>
        </w:rPr>
        <w:t xml:space="preserve">  </w:t>
      </w:r>
    </w:p>
    <w:p w14:paraId="181EEF43" w14:textId="77777777" w:rsidR="004F1DAD" w:rsidRPr="003A1A6F" w:rsidRDefault="004F1DAD" w:rsidP="004F1DAD">
      <w:pPr>
        <w:pStyle w:val="Default"/>
        <w:rPr>
          <w:color w:val="auto"/>
          <w:sz w:val="23"/>
          <w:szCs w:val="23"/>
        </w:rPr>
      </w:pPr>
    </w:p>
    <w:p w14:paraId="75CDA44C" w14:textId="77777777" w:rsidR="004F1DAD" w:rsidRPr="003A1A6F" w:rsidRDefault="004F1DAD" w:rsidP="004F1DAD">
      <w:pPr>
        <w:pStyle w:val="Default"/>
        <w:rPr>
          <w:color w:val="auto"/>
          <w:sz w:val="23"/>
          <w:szCs w:val="23"/>
        </w:rPr>
      </w:pPr>
      <w:r w:rsidRPr="003A1A6F">
        <w:rPr>
          <w:color w:val="auto"/>
          <w:sz w:val="23"/>
          <w:szCs w:val="23"/>
        </w:rPr>
        <w:t xml:space="preserve">Wong, J.T.Y., C.M. Hui, W. </w:t>
      </w:r>
      <w:proofErr w:type="spellStart"/>
      <w:r w:rsidRPr="003A1A6F">
        <w:rPr>
          <w:color w:val="auto"/>
          <w:sz w:val="23"/>
          <w:szCs w:val="23"/>
        </w:rPr>
        <w:t>Seabrooke</w:t>
      </w:r>
      <w:proofErr w:type="spellEnd"/>
      <w:r w:rsidRPr="003A1A6F">
        <w:rPr>
          <w:color w:val="auto"/>
          <w:sz w:val="23"/>
          <w:szCs w:val="23"/>
        </w:rPr>
        <w:t xml:space="preserve"> and J. Rafferty. A Study of the Hong Kong Property Market: Housing Price Expectations, </w:t>
      </w:r>
      <w:r w:rsidRPr="003A1A6F">
        <w:rPr>
          <w:i/>
          <w:color w:val="auto"/>
          <w:sz w:val="23"/>
          <w:szCs w:val="23"/>
        </w:rPr>
        <w:t>Construction Management and Economics</w:t>
      </w:r>
      <w:r w:rsidRPr="003A1A6F">
        <w:rPr>
          <w:color w:val="auto"/>
          <w:sz w:val="23"/>
          <w:szCs w:val="23"/>
        </w:rPr>
        <w:t xml:space="preserve">, 23, 2005, 757-795. </w:t>
      </w:r>
    </w:p>
    <w:p w14:paraId="6D24E8F9" w14:textId="77777777" w:rsidR="004F1DAD" w:rsidRPr="003A1A6F" w:rsidRDefault="004F1DAD" w:rsidP="004F1DAD">
      <w:pPr>
        <w:pStyle w:val="Default"/>
        <w:rPr>
          <w:color w:val="auto"/>
          <w:sz w:val="23"/>
          <w:szCs w:val="23"/>
        </w:rPr>
      </w:pPr>
    </w:p>
    <w:p w14:paraId="3C0A91EB" w14:textId="77777777" w:rsidR="004F1DAD" w:rsidRPr="003A1A6F" w:rsidRDefault="004F1DAD" w:rsidP="004F1DAD">
      <w:pPr>
        <w:pStyle w:val="Default"/>
        <w:rPr>
          <w:color w:val="auto"/>
          <w:sz w:val="23"/>
          <w:szCs w:val="23"/>
        </w:rPr>
      </w:pPr>
      <w:proofErr w:type="spellStart"/>
      <w:r w:rsidRPr="003A1A6F">
        <w:rPr>
          <w:color w:val="auto"/>
          <w:sz w:val="23"/>
          <w:szCs w:val="23"/>
        </w:rPr>
        <w:t>Yavas</w:t>
      </w:r>
      <w:proofErr w:type="spellEnd"/>
      <w:r w:rsidRPr="003A1A6F">
        <w:rPr>
          <w:color w:val="auto"/>
          <w:sz w:val="23"/>
          <w:szCs w:val="23"/>
        </w:rPr>
        <w:t xml:space="preserve">, A., &amp; Yang, S. 1995. The Strategic Role of Listing Price in Marketing Real Estate: Theory and Evidence. </w:t>
      </w:r>
      <w:r w:rsidRPr="003A1A6F">
        <w:rPr>
          <w:i/>
          <w:iCs/>
          <w:color w:val="auto"/>
          <w:sz w:val="23"/>
          <w:szCs w:val="23"/>
        </w:rPr>
        <w:t xml:space="preserve">Real Estate Economics </w:t>
      </w:r>
      <w:r w:rsidRPr="003A1A6F">
        <w:rPr>
          <w:color w:val="auto"/>
          <w:sz w:val="23"/>
          <w:szCs w:val="23"/>
        </w:rPr>
        <w:t xml:space="preserve">23(3), 347-368. 25 </w:t>
      </w:r>
    </w:p>
    <w:p w14:paraId="7C8CA8C7" w14:textId="77777777" w:rsidR="004F1DAD" w:rsidRPr="003A1A6F" w:rsidRDefault="004F1DAD" w:rsidP="004F1DAD">
      <w:pPr>
        <w:pStyle w:val="Default"/>
        <w:rPr>
          <w:color w:val="auto"/>
          <w:sz w:val="23"/>
          <w:szCs w:val="23"/>
        </w:rPr>
      </w:pPr>
    </w:p>
    <w:p w14:paraId="3B33D447" w14:textId="77777777" w:rsidR="004F1DAD" w:rsidRPr="003A1A6F" w:rsidRDefault="004F1DAD" w:rsidP="004F1DAD">
      <w:pPr>
        <w:pStyle w:val="Default"/>
        <w:rPr>
          <w:color w:val="auto"/>
          <w:sz w:val="23"/>
          <w:szCs w:val="23"/>
        </w:rPr>
      </w:pPr>
      <w:proofErr w:type="spellStart"/>
      <w:r w:rsidRPr="003A1A6F">
        <w:rPr>
          <w:color w:val="auto"/>
          <w:sz w:val="23"/>
          <w:szCs w:val="23"/>
        </w:rPr>
        <w:t>Yinger</w:t>
      </w:r>
      <w:proofErr w:type="spellEnd"/>
      <w:r w:rsidRPr="003A1A6F">
        <w:rPr>
          <w:color w:val="auto"/>
          <w:sz w:val="23"/>
          <w:szCs w:val="23"/>
        </w:rPr>
        <w:t xml:space="preserve">, J. 1981. A Search Model of Real Estate Broker Behavior. </w:t>
      </w:r>
      <w:r w:rsidRPr="003A1A6F">
        <w:rPr>
          <w:i/>
          <w:iCs/>
          <w:color w:val="auto"/>
          <w:sz w:val="23"/>
          <w:szCs w:val="23"/>
        </w:rPr>
        <w:t xml:space="preserve">American Economic Review </w:t>
      </w:r>
      <w:r w:rsidRPr="003A1A6F">
        <w:rPr>
          <w:color w:val="auto"/>
          <w:sz w:val="23"/>
          <w:szCs w:val="23"/>
        </w:rPr>
        <w:t xml:space="preserve">71, 591-605. </w:t>
      </w:r>
    </w:p>
    <w:p w14:paraId="188D2E2B" w14:textId="77777777" w:rsidR="004F1DAD" w:rsidRPr="003A1A6F" w:rsidRDefault="004F1DAD">
      <w:pPr>
        <w:rPr>
          <w:rFonts w:ascii="Times New Roman" w:hAnsi="Times New Roman" w:cs="Times New Roman"/>
          <w:sz w:val="24"/>
          <w:szCs w:val="24"/>
        </w:rPr>
      </w:pPr>
    </w:p>
    <w:sectPr w:rsidR="004F1DAD" w:rsidRPr="003A1A6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D65506" w14:textId="77777777" w:rsidR="008B4031" w:rsidRDefault="008B4031" w:rsidP="00BE7B3E">
      <w:pPr>
        <w:spacing w:after="0" w:line="240" w:lineRule="auto"/>
      </w:pPr>
      <w:r>
        <w:separator/>
      </w:r>
    </w:p>
  </w:endnote>
  <w:endnote w:type="continuationSeparator" w:id="0">
    <w:p w14:paraId="0A019A47" w14:textId="77777777" w:rsidR="008B4031" w:rsidRDefault="008B4031" w:rsidP="00BE7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2DD255" w14:textId="77777777" w:rsidR="008B4031" w:rsidRDefault="008B4031" w:rsidP="00BE7B3E">
      <w:pPr>
        <w:spacing w:after="0" w:line="240" w:lineRule="auto"/>
      </w:pPr>
      <w:r>
        <w:separator/>
      </w:r>
    </w:p>
  </w:footnote>
  <w:footnote w:type="continuationSeparator" w:id="0">
    <w:p w14:paraId="5D9B77E6" w14:textId="77777777" w:rsidR="008B4031" w:rsidRDefault="008B4031" w:rsidP="00BE7B3E">
      <w:pPr>
        <w:spacing w:after="0" w:line="240" w:lineRule="auto"/>
      </w:pPr>
      <w:r>
        <w:continuationSeparator/>
      </w:r>
    </w:p>
  </w:footnote>
  <w:footnote w:id="1">
    <w:p w14:paraId="6C6E84D2" w14:textId="2E6FAB03" w:rsidR="005B58D0" w:rsidRDefault="005B58D0">
      <w:pPr>
        <w:pStyle w:val="FootnoteText"/>
      </w:pPr>
      <w:r>
        <w:rPr>
          <w:rStyle w:val="FootnoteReference"/>
        </w:rPr>
        <w:footnoteRef/>
      </w:r>
      <w:r>
        <w:t xml:space="preserve"> </w:t>
      </w:r>
      <w:r w:rsidRPr="00C60BB6">
        <w:rPr>
          <w:rFonts w:ascii="Times New Roman" w:hAnsi="Times New Roman" w:cs="Times New Roman"/>
        </w:rPr>
        <w:t xml:space="preserve">Today, one reason why we may see more frequent list price changes, usually decreases, is that it is easy to make such changes </w:t>
      </w:r>
      <w:proofErr w:type="gramStart"/>
      <w:r w:rsidRPr="00C60BB6">
        <w:rPr>
          <w:rFonts w:ascii="Times New Roman" w:hAnsi="Times New Roman" w:cs="Times New Roman"/>
        </w:rPr>
        <w:t>and in some cases</w:t>
      </w:r>
      <w:proofErr w:type="gramEnd"/>
      <w:r w:rsidRPr="00C60BB6">
        <w:rPr>
          <w:rFonts w:ascii="Times New Roman" w:hAnsi="Times New Roman" w:cs="Times New Roman"/>
        </w:rPr>
        <w:t>, it triggers an automated note to potential buyers that have previously viewed a listing.</w:t>
      </w:r>
    </w:p>
  </w:footnote>
  <w:footnote w:id="2">
    <w:p w14:paraId="4F6946F2" w14:textId="77777777" w:rsidR="005B58D0" w:rsidRDefault="005B58D0" w:rsidP="00BE7B3E">
      <w:pPr>
        <w:pStyle w:val="FootnoteText"/>
      </w:pPr>
      <w:r>
        <w:rPr>
          <w:rStyle w:val="FootnoteReference"/>
        </w:rPr>
        <w:footnoteRef/>
      </w:r>
      <w:r>
        <w:t xml:space="preserve"> </w:t>
      </w:r>
      <w:r w:rsidRPr="00241BE5">
        <w:rPr>
          <w:rFonts w:ascii="Times New Roman" w:hAnsi="Times New Roman" w:cs="Times New Roman"/>
          <w:sz w:val="18"/>
          <w:szCs w:val="18"/>
        </w:rPr>
        <w:t xml:space="preserve">See “Pricing Strategies and Residential Property Selling Prices” in the </w:t>
      </w:r>
      <w:r w:rsidRPr="00241BE5">
        <w:rPr>
          <w:rFonts w:ascii="Times New Roman" w:hAnsi="Times New Roman" w:cs="Times New Roman"/>
          <w:i/>
          <w:sz w:val="18"/>
          <w:szCs w:val="18"/>
        </w:rPr>
        <w:t>Journal of Real Estate Research</w:t>
      </w:r>
      <w:r w:rsidRPr="00241BE5">
        <w:rPr>
          <w:rFonts w:ascii="Times New Roman" w:hAnsi="Times New Roman" w:cs="Times New Roman"/>
          <w:sz w:val="18"/>
          <w:szCs w:val="18"/>
        </w:rPr>
        <w:t xml:space="preserve"> by N. Miller and M. </w:t>
      </w:r>
      <w:proofErr w:type="spellStart"/>
      <w:r w:rsidRPr="00241BE5">
        <w:rPr>
          <w:rFonts w:ascii="Times New Roman" w:hAnsi="Times New Roman" w:cs="Times New Roman"/>
          <w:sz w:val="18"/>
          <w:szCs w:val="18"/>
        </w:rPr>
        <w:t>Sklarz</w:t>
      </w:r>
      <w:proofErr w:type="spellEnd"/>
      <w:r w:rsidRPr="00241BE5">
        <w:rPr>
          <w:rFonts w:ascii="Times New Roman" w:hAnsi="Times New Roman" w:cs="Times New Roman"/>
          <w:sz w:val="18"/>
          <w:szCs w:val="18"/>
        </w:rPr>
        <w:t>, Vol. 2, 1, Fall, 1987.</w:t>
      </w:r>
    </w:p>
  </w:footnote>
  <w:footnote w:id="3">
    <w:p w14:paraId="65EC3031" w14:textId="77777777" w:rsidR="005B58D0" w:rsidRDefault="005B58D0" w:rsidP="002C7CE7">
      <w:pPr>
        <w:pStyle w:val="FootnoteText"/>
      </w:pPr>
      <w:r w:rsidRPr="00241BE5">
        <w:rPr>
          <w:rStyle w:val="FootnoteReference"/>
          <w:rFonts w:ascii="Times New Roman" w:hAnsi="Times New Roman" w:cs="Times New Roman"/>
        </w:rPr>
        <w:footnoteRef/>
      </w:r>
      <w:r w:rsidRPr="00241BE5">
        <w:rPr>
          <w:rFonts w:ascii="Times New Roman" w:hAnsi="Times New Roman" w:cs="Times New Roman"/>
          <w:sz w:val="18"/>
          <w:szCs w:val="18"/>
        </w:rPr>
        <w:t xml:space="preserve"> See </w:t>
      </w:r>
      <w:r>
        <w:rPr>
          <w:rFonts w:ascii="Times New Roman" w:hAnsi="Times New Roman" w:cs="Times New Roman"/>
          <w:sz w:val="18"/>
          <w:szCs w:val="18"/>
        </w:rPr>
        <w:t xml:space="preserve">in the reference list </w:t>
      </w:r>
      <w:r w:rsidRPr="00241BE5">
        <w:rPr>
          <w:rFonts w:ascii="Times New Roman" w:hAnsi="Times New Roman" w:cs="Times New Roman"/>
          <w:sz w:val="18"/>
          <w:szCs w:val="18"/>
        </w:rPr>
        <w:t>“Bidding Wars for Houses” b</w:t>
      </w:r>
      <w:r>
        <w:rPr>
          <w:rFonts w:ascii="Times New Roman" w:hAnsi="Times New Roman" w:cs="Times New Roman"/>
          <w:sz w:val="18"/>
          <w:szCs w:val="18"/>
        </w:rPr>
        <w:t>y L. Han and W. Strange, 2014 and also “What is the role of asking price for a house?” 2013.</w:t>
      </w:r>
    </w:p>
  </w:footnote>
  <w:footnote w:id="4">
    <w:p w14:paraId="45CE5B89" w14:textId="77777777" w:rsidR="005B58D0" w:rsidRDefault="005B58D0" w:rsidP="006870DD">
      <w:pPr>
        <w:pStyle w:val="FootnoteText"/>
      </w:pPr>
      <w:r>
        <w:rPr>
          <w:rStyle w:val="FootnoteReference"/>
        </w:rPr>
        <w:footnoteRef/>
      </w:r>
      <w:r>
        <w:t xml:space="preserve"> </w:t>
      </w:r>
      <w:r w:rsidRPr="00B8036A">
        <w:rPr>
          <w:rFonts w:ascii="Times New Roman" w:hAnsi="Times New Roman"/>
        </w:rPr>
        <w:t xml:space="preserve">See </w:t>
      </w:r>
      <w:r w:rsidRPr="00B8036A">
        <w:rPr>
          <w:rFonts w:ascii="Times New Roman" w:hAnsi="Times New Roman" w:cs="Times New Roman"/>
        </w:rPr>
        <w:t>Goodman</w:t>
      </w:r>
      <w:r w:rsidRPr="00210495">
        <w:rPr>
          <w:rFonts w:ascii="Times New Roman" w:hAnsi="Times New Roman" w:cs="Times New Roman"/>
        </w:rPr>
        <w:t xml:space="preserve"> (1993</w:t>
      </w:r>
      <w:r>
        <w:rPr>
          <w:rFonts w:ascii="Times New Roman" w:hAnsi="Times New Roman" w:cs="Times New Roman"/>
        </w:rPr>
        <w:t>) and Figure 1.</w:t>
      </w:r>
    </w:p>
  </w:footnote>
  <w:footnote w:id="5">
    <w:p w14:paraId="6D8E1B62" w14:textId="7499DD4E" w:rsidR="005B58D0" w:rsidRPr="00462A0F" w:rsidRDefault="005B58D0">
      <w:pPr>
        <w:pStyle w:val="FootnoteText"/>
        <w:rPr>
          <w:rFonts w:ascii="Times New Roman" w:hAnsi="Times New Roman" w:cs="Times New Roman"/>
        </w:rPr>
      </w:pPr>
      <w:bookmarkStart w:id="1" w:name="_Hlk12533000"/>
      <w:r w:rsidRPr="00462A0F">
        <w:rPr>
          <w:rStyle w:val="FootnoteReference"/>
          <w:rFonts w:ascii="Times New Roman" w:hAnsi="Times New Roman" w:cs="Times New Roman"/>
        </w:rPr>
        <w:footnoteRef/>
      </w:r>
      <w:r w:rsidRPr="00462A0F">
        <w:rPr>
          <w:rFonts w:ascii="Times New Roman" w:hAnsi="Times New Roman" w:cs="Times New Roman"/>
        </w:rPr>
        <w:t xml:space="preserve"> See </w:t>
      </w:r>
      <w:proofErr w:type="spellStart"/>
      <w:r w:rsidRPr="00462A0F">
        <w:rPr>
          <w:rFonts w:ascii="Times New Roman" w:hAnsi="Times New Roman" w:cs="Times New Roman"/>
        </w:rPr>
        <w:t>Beracha</w:t>
      </w:r>
      <w:proofErr w:type="spellEnd"/>
      <w:r w:rsidRPr="00462A0F">
        <w:rPr>
          <w:rFonts w:ascii="Times New Roman" w:hAnsi="Times New Roman" w:cs="Times New Roman"/>
        </w:rPr>
        <w:t xml:space="preserve"> and Seiler in references, </w:t>
      </w:r>
      <w:r>
        <w:rPr>
          <w:rFonts w:ascii="Times New Roman" w:hAnsi="Times New Roman" w:cs="Times New Roman"/>
        </w:rPr>
        <w:t>where they suggest staying just under rounded off list prices.</w:t>
      </w:r>
      <w:bookmarkEnd w:id="1"/>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C51E37"/>
    <w:multiLevelType w:val="multilevel"/>
    <w:tmpl w:val="996AE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A015EAE"/>
    <w:multiLevelType w:val="hybridMultilevel"/>
    <w:tmpl w:val="A182A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086607D"/>
    <w:multiLevelType w:val="hybridMultilevel"/>
    <w:tmpl w:val="D29AEA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713DCF"/>
    <w:multiLevelType w:val="multilevel"/>
    <w:tmpl w:val="F31861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BAD2BBF"/>
    <w:multiLevelType w:val="hybridMultilevel"/>
    <w:tmpl w:val="495EEB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856"/>
    <w:rsid w:val="00007115"/>
    <w:rsid w:val="000240EE"/>
    <w:rsid w:val="00031A3F"/>
    <w:rsid w:val="000674D7"/>
    <w:rsid w:val="00097A5D"/>
    <w:rsid w:val="000A1952"/>
    <w:rsid w:val="000D23E5"/>
    <w:rsid w:val="000E39D5"/>
    <w:rsid w:val="00111D7D"/>
    <w:rsid w:val="00142926"/>
    <w:rsid w:val="00145BB2"/>
    <w:rsid w:val="00151D82"/>
    <w:rsid w:val="00156DDE"/>
    <w:rsid w:val="001622D5"/>
    <w:rsid w:val="00195597"/>
    <w:rsid w:val="001E3CA0"/>
    <w:rsid w:val="0029182E"/>
    <w:rsid w:val="0029518B"/>
    <w:rsid w:val="002B4001"/>
    <w:rsid w:val="002C7CE7"/>
    <w:rsid w:val="002D0031"/>
    <w:rsid w:val="002E40BF"/>
    <w:rsid w:val="003310FF"/>
    <w:rsid w:val="00361B98"/>
    <w:rsid w:val="003A1A6F"/>
    <w:rsid w:val="003D2D93"/>
    <w:rsid w:val="00462A0F"/>
    <w:rsid w:val="0049203E"/>
    <w:rsid w:val="004B2F97"/>
    <w:rsid w:val="004F1DAD"/>
    <w:rsid w:val="0051182B"/>
    <w:rsid w:val="00515CAD"/>
    <w:rsid w:val="005848D7"/>
    <w:rsid w:val="00585020"/>
    <w:rsid w:val="005B58D0"/>
    <w:rsid w:val="005B6518"/>
    <w:rsid w:val="005F7139"/>
    <w:rsid w:val="00610EC8"/>
    <w:rsid w:val="00631405"/>
    <w:rsid w:val="00642C62"/>
    <w:rsid w:val="00652856"/>
    <w:rsid w:val="00653283"/>
    <w:rsid w:val="006870DD"/>
    <w:rsid w:val="00702AA5"/>
    <w:rsid w:val="00710821"/>
    <w:rsid w:val="0071690F"/>
    <w:rsid w:val="00735FBE"/>
    <w:rsid w:val="00761ECA"/>
    <w:rsid w:val="00791FEB"/>
    <w:rsid w:val="007A4A40"/>
    <w:rsid w:val="007D232B"/>
    <w:rsid w:val="007E3430"/>
    <w:rsid w:val="00814DFE"/>
    <w:rsid w:val="008A4352"/>
    <w:rsid w:val="008B4031"/>
    <w:rsid w:val="008C76D2"/>
    <w:rsid w:val="008E0E8D"/>
    <w:rsid w:val="00913558"/>
    <w:rsid w:val="00935176"/>
    <w:rsid w:val="0097751F"/>
    <w:rsid w:val="009C0080"/>
    <w:rsid w:val="00A0590A"/>
    <w:rsid w:val="00A074CE"/>
    <w:rsid w:val="00A3009F"/>
    <w:rsid w:val="00A53DE9"/>
    <w:rsid w:val="00A80954"/>
    <w:rsid w:val="00AB6278"/>
    <w:rsid w:val="00B02284"/>
    <w:rsid w:val="00B4174D"/>
    <w:rsid w:val="00B571BC"/>
    <w:rsid w:val="00B57BB6"/>
    <w:rsid w:val="00B63548"/>
    <w:rsid w:val="00B721FB"/>
    <w:rsid w:val="00B74A55"/>
    <w:rsid w:val="00B75CB2"/>
    <w:rsid w:val="00BB29F3"/>
    <w:rsid w:val="00BE7B3E"/>
    <w:rsid w:val="00C05D32"/>
    <w:rsid w:val="00C26ECE"/>
    <w:rsid w:val="00C52CA8"/>
    <w:rsid w:val="00C548DF"/>
    <w:rsid w:val="00C60BB6"/>
    <w:rsid w:val="00CA77DA"/>
    <w:rsid w:val="00CD123E"/>
    <w:rsid w:val="00D03FE5"/>
    <w:rsid w:val="00D602D8"/>
    <w:rsid w:val="00D70DFD"/>
    <w:rsid w:val="00D93377"/>
    <w:rsid w:val="00DB37C5"/>
    <w:rsid w:val="00DB54B2"/>
    <w:rsid w:val="00DC7981"/>
    <w:rsid w:val="00DD7CEB"/>
    <w:rsid w:val="00DF30B1"/>
    <w:rsid w:val="00EE7431"/>
    <w:rsid w:val="00EF0332"/>
    <w:rsid w:val="00F813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6B1154"/>
  <w15:chartTrackingRefBased/>
  <w15:docId w15:val="{0946D104-7EF3-4983-B4BB-0CBC0B269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13558"/>
    <w:rPr>
      <w:color w:val="0563C1" w:themeColor="hyperlink"/>
      <w:u w:val="single"/>
    </w:rPr>
  </w:style>
  <w:style w:type="character" w:customStyle="1" w:styleId="UnresolvedMention1">
    <w:name w:val="Unresolved Mention1"/>
    <w:basedOn w:val="DefaultParagraphFont"/>
    <w:uiPriority w:val="99"/>
    <w:semiHidden/>
    <w:unhideWhenUsed/>
    <w:rsid w:val="00913558"/>
    <w:rPr>
      <w:color w:val="605E5C"/>
      <w:shd w:val="clear" w:color="auto" w:fill="E1DFDD"/>
    </w:rPr>
  </w:style>
  <w:style w:type="paragraph" w:customStyle="1" w:styleId="Default">
    <w:name w:val="Default"/>
    <w:rsid w:val="004F1DAD"/>
    <w:pPr>
      <w:autoSpaceDE w:val="0"/>
      <w:autoSpaceDN w:val="0"/>
      <w:adjustRightInd w:val="0"/>
      <w:spacing w:after="0" w:line="24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unhideWhenUsed/>
    <w:rsid w:val="00BE7B3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7B3E"/>
    <w:rPr>
      <w:sz w:val="20"/>
      <w:szCs w:val="20"/>
    </w:rPr>
  </w:style>
  <w:style w:type="character" w:styleId="FootnoteReference">
    <w:name w:val="footnote reference"/>
    <w:basedOn w:val="DefaultParagraphFont"/>
    <w:uiPriority w:val="99"/>
    <w:semiHidden/>
    <w:unhideWhenUsed/>
    <w:rsid w:val="00BE7B3E"/>
    <w:rPr>
      <w:vertAlign w:val="superscript"/>
    </w:rPr>
  </w:style>
  <w:style w:type="paragraph" w:styleId="ListParagraph">
    <w:name w:val="List Paragraph"/>
    <w:basedOn w:val="Normal"/>
    <w:uiPriority w:val="34"/>
    <w:qFormat/>
    <w:rsid w:val="0049203E"/>
    <w:pPr>
      <w:ind w:left="720"/>
      <w:contextualSpacing/>
    </w:pPr>
  </w:style>
  <w:style w:type="paragraph" w:styleId="BalloonText">
    <w:name w:val="Balloon Text"/>
    <w:basedOn w:val="Normal"/>
    <w:link w:val="BalloonTextChar"/>
    <w:uiPriority w:val="99"/>
    <w:semiHidden/>
    <w:unhideWhenUsed/>
    <w:rsid w:val="00145B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45BB2"/>
    <w:rPr>
      <w:rFonts w:ascii="Segoe UI" w:hAnsi="Segoe UI" w:cs="Segoe UI"/>
      <w:sz w:val="18"/>
      <w:szCs w:val="18"/>
    </w:rPr>
  </w:style>
  <w:style w:type="table" w:styleId="TableGrid">
    <w:name w:val="Table Grid"/>
    <w:basedOn w:val="TableNormal"/>
    <w:uiPriority w:val="39"/>
    <w:rsid w:val="00BB29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675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5.xml"/><Relationship Id="rId18" Type="http://schemas.openxmlformats.org/officeDocument/2006/relationships/hyperlink" Target="http://ssrn.com/abstract=2209103"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hyperlink" Target="http://collateralanalytics.com/15/"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chart" Target="charts/chart7.xml"/><Relationship Id="rId10" Type="http://schemas.openxmlformats.org/officeDocument/2006/relationships/chart" Target="charts/chart2.xml"/><Relationship Id="rId19" Type="http://schemas.openxmlformats.org/officeDocument/2006/relationships/hyperlink" Target="https://www.collateralanalytics.com/blog/2015/09/01/a-new-way-to-define-real-estate-market-condition/"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MRI</a:t>
            </a:r>
            <a:r>
              <a:rPr lang="en-US" sz="1200" baseline="0">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by Price Range 2019 Qtr 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Months_of_Inventory_Remaining_P!$I$1</c:f>
              <c:strCache>
                <c:ptCount val="1"/>
                <c:pt idx="0">
                  <c:v>Cinti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Months_of_Inventory_Remaining_P!$H$2:$H$18</c:f>
              <c:strCache>
                <c:ptCount val="17"/>
                <c:pt idx="0">
                  <c:v>Price Range</c:v>
                </c:pt>
                <c:pt idx="1">
                  <c:v>&lt;100</c:v>
                </c:pt>
                <c:pt idx="2">
                  <c:v>100--149</c:v>
                </c:pt>
                <c:pt idx="3">
                  <c:v>150--199</c:v>
                </c:pt>
                <c:pt idx="4">
                  <c:v>200--249</c:v>
                </c:pt>
                <c:pt idx="5">
                  <c:v>250--299</c:v>
                </c:pt>
                <c:pt idx="6">
                  <c:v>300--349</c:v>
                </c:pt>
                <c:pt idx="7">
                  <c:v>350--399</c:v>
                </c:pt>
                <c:pt idx="8">
                  <c:v>400--449</c:v>
                </c:pt>
                <c:pt idx="9">
                  <c:v>450--499</c:v>
                </c:pt>
                <c:pt idx="10">
                  <c:v>500--549</c:v>
                </c:pt>
                <c:pt idx="11">
                  <c:v>550--599</c:v>
                </c:pt>
                <c:pt idx="12">
                  <c:v>600--649</c:v>
                </c:pt>
                <c:pt idx="13">
                  <c:v>650--699</c:v>
                </c:pt>
                <c:pt idx="14">
                  <c:v>700--749</c:v>
                </c:pt>
                <c:pt idx="15">
                  <c:v>750--799</c:v>
                </c:pt>
                <c:pt idx="16">
                  <c:v>&gt;= 800</c:v>
                </c:pt>
              </c:strCache>
            </c:strRef>
          </c:cat>
          <c:val>
            <c:numRef>
              <c:f>Months_of_Inventory_Remaining_P!$I$2:$I$18</c:f>
              <c:numCache>
                <c:formatCode>General</c:formatCode>
                <c:ptCount val="17"/>
                <c:pt idx="0">
                  <c:v>0</c:v>
                </c:pt>
                <c:pt idx="1">
                  <c:v>1.4</c:v>
                </c:pt>
                <c:pt idx="2">
                  <c:v>1.08</c:v>
                </c:pt>
                <c:pt idx="3">
                  <c:v>0.96</c:v>
                </c:pt>
                <c:pt idx="4">
                  <c:v>1.56</c:v>
                </c:pt>
                <c:pt idx="5">
                  <c:v>1.8</c:v>
                </c:pt>
                <c:pt idx="6">
                  <c:v>2.04</c:v>
                </c:pt>
                <c:pt idx="7">
                  <c:v>2.4</c:v>
                </c:pt>
                <c:pt idx="8">
                  <c:v>2.64</c:v>
                </c:pt>
                <c:pt idx="9">
                  <c:v>4.68</c:v>
                </c:pt>
                <c:pt idx="10">
                  <c:v>4.5599999999999996</c:v>
                </c:pt>
                <c:pt idx="11">
                  <c:v>6.96</c:v>
                </c:pt>
                <c:pt idx="12">
                  <c:v>5</c:v>
                </c:pt>
                <c:pt idx="13">
                  <c:v>4.32</c:v>
                </c:pt>
                <c:pt idx="14">
                  <c:v>6.24</c:v>
                </c:pt>
                <c:pt idx="15">
                  <c:v>6</c:v>
                </c:pt>
                <c:pt idx="16">
                  <c:v>9</c:v>
                </c:pt>
              </c:numCache>
            </c:numRef>
          </c:val>
          <c:smooth val="0"/>
          <c:extLst>
            <c:ext xmlns:c16="http://schemas.microsoft.com/office/drawing/2014/chart" uri="{C3380CC4-5D6E-409C-BE32-E72D297353CC}">
              <c16:uniqueId val="{00000000-C367-4346-AEB9-26A517E7D0AD}"/>
            </c:ext>
          </c:extLst>
        </c:ser>
        <c:ser>
          <c:idx val="1"/>
          <c:order val="1"/>
          <c:tx>
            <c:strRef>
              <c:f>Months_of_Inventory_Remaining_P!$J$1</c:f>
              <c:strCache>
                <c:ptCount val="1"/>
                <c:pt idx="0">
                  <c:v>Col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Months_of_Inventory_Remaining_P!$H$2:$H$18</c:f>
              <c:strCache>
                <c:ptCount val="17"/>
                <c:pt idx="0">
                  <c:v>Price Range</c:v>
                </c:pt>
                <c:pt idx="1">
                  <c:v>&lt;100</c:v>
                </c:pt>
                <c:pt idx="2">
                  <c:v>100--149</c:v>
                </c:pt>
                <c:pt idx="3">
                  <c:v>150--199</c:v>
                </c:pt>
                <c:pt idx="4">
                  <c:v>200--249</c:v>
                </c:pt>
                <c:pt idx="5">
                  <c:v>250--299</c:v>
                </c:pt>
                <c:pt idx="6">
                  <c:v>300--349</c:v>
                </c:pt>
                <c:pt idx="7">
                  <c:v>350--399</c:v>
                </c:pt>
                <c:pt idx="8">
                  <c:v>400--449</c:v>
                </c:pt>
                <c:pt idx="9">
                  <c:v>450--499</c:v>
                </c:pt>
                <c:pt idx="10">
                  <c:v>500--549</c:v>
                </c:pt>
                <c:pt idx="11">
                  <c:v>550--599</c:v>
                </c:pt>
                <c:pt idx="12">
                  <c:v>600--649</c:v>
                </c:pt>
                <c:pt idx="13">
                  <c:v>650--699</c:v>
                </c:pt>
                <c:pt idx="14">
                  <c:v>700--749</c:v>
                </c:pt>
                <c:pt idx="15">
                  <c:v>750--799</c:v>
                </c:pt>
                <c:pt idx="16">
                  <c:v>&gt;= 800</c:v>
                </c:pt>
              </c:strCache>
            </c:strRef>
          </c:cat>
          <c:val>
            <c:numRef>
              <c:f>Months_of_Inventory_Remaining_P!$J$2:$J$18</c:f>
              <c:numCache>
                <c:formatCode>General</c:formatCode>
                <c:ptCount val="17"/>
                <c:pt idx="0">
                  <c:v>0</c:v>
                </c:pt>
                <c:pt idx="1">
                  <c:v>1.44</c:v>
                </c:pt>
                <c:pt idx="2">
                  <c:v>2.04</c:v>
                </c:pt>
                <c:pt idx="3">
                  <c:v>1.92</c:v>
                </c:pt>
                <c:pt idx="4">
                  <c:v>2.04</c:v>
                </c:pt>
                <c:pt idx="5">
                  <c:v>3</c:v>
                </c:pt>
                <c:pt idx="6">
                  <c:v>2.64</c:v>
                </c:pt>
                <c:pt idx="7">
                  <c:v>3.24</c:v>
                </c:pt>
                <c:pt idx="8">
                  <c:v>3.6</c:v>
                </c:pt>
                <c:pt idx="9">
                  <c:v>6</c:v>
                </c:pt>
                <c:pt idx="10">
                  <c:v>5.76</c:v>
                </c:pt>
              </c:numCache>
            </c:numRef>
          </c:val>
          <c:smooth val="0"/>
          <c:extLst>
            <c:ext xmlns:c16="http://schemas.microsoft.com/office/drawing/2014/chart" uri="{C3380CC4-5D6E-409C-BE32-E72D297353CC}">
              <c16:uniqueId val="{00000001-C367-4346-AEB9-26A517E7D0AD}"/>
            </c:ext>
          </c:extLst>
        </c:ser>
        <c:ser>
          <c:idx val="2"/>
          <c:order val="2"/>
          <c:tx>
            <c:strRef>
              <c:f>Months_of_Inventory_Remaining_P!$K$1</c:f>
              <c:strCache>
                <c:ptCount val="1"/>
                <c:pt idx="0">
                  <c:v>Ind</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Months_of_Inventory_Remaining_P!$H$2:$H$18</c:f>
              <c:strCache>
                <c:ptCount val="17"/>
                <c:pt idx="0">
                  <c:v>Price Range</c:v>
                </c:pt>
                <c:pt idx="1">
                  <c:v>&lt;100</c:v>
                </c:pt>
                <c:pt idx="2">
                  <c:v>100--149</c:v>
                </c:pt>
                <c:pt idx="3">
                  <c:v>150--199</c:v>
                </c:pt>
                <c:pt idx="4">
                  <c:v>200--249</c:v>
                </c:pt>
                <c:pt idx="5">
                  <c:v>250--299</c:v>
                </c:pt>
                <c:pt idx="6">
                  <c:v>300--349</c:v>
                </c:pt>
                <c:pt idx="7">
                  <c:v>350--399</c:v>
                </c:pt>
                <c:pt idx="8">
                  <c:v>400--449</c:v>
                </c:pt>
                <c:pt idx="9">
                  <c:v>450--499</c:v>
                </c:pt>
                <c:pt idx="10">
                  <c:v>500--549</c:v>
                </c:pt>
                <c:pt idx="11">
                  <c:v>550--599</c:v>
                </c:pt>
                <c:pt idx="12">
                  <c:v>600--649</c:v>
                </c:pt>
                <c:pt idx="13">
                  <c:v>650--699</c:v>
                </c:pt>
                <c:pt idx="14">
                  <c:v>700--749</c:v>
                </c:pt>
                <c:pt idx="15">
                  <c:v>750--799</c:v>
                </c:pt>
                <c:pt idx="16">
                  <c:v>&gt;= 800</c:v>
                </c:pt>
              </c:strCache>
            </c:strRef>
          </c:cat>
          <c:val>
            <c:numRef>
              <c:f>Months_of_Inventory_Remaining_P!$K$2:$K$18</c:f>
              <c:numCache>
                <c:formatCode>General</c:formatCode>
                <c:ptCount val="17"/>
                <c:pt idx="0">
                  <c:v>0</c:v>
                </c:pt>
                <c:pt idx="1">
                  <c:v>1.44</c:v>
                </c:pt>
                <c:pt idx="2">
                  <c:v>0.36</c:v>
                </c:pt>
                <c:pt idx="3">
                  <c:v>0.48</c:v>
                </c:pt>
                <c:pt idx="4">
                  <c:v>1.32</c:v>
                </c:pt>
                <c:pt idx="5">
                  <c:v>2.04</c:v>
                </c:pt>
                <c:pt idx="6">
                  <c:v>2.52</c:v>
                </c:pt>
                <c:pt idx="7">
                  <c:v>2.88</c:v>
                </c:pt>
                <c:pt idx="8">
                  <c:v>3</c:v>
                </c:pt>
                <c:pt idx="9">
                  <c:v>3.72</c:v>
                </c:pt>
                <c:pt idx="10">
                  <c:v>5.16</c:v>
                </c:pt>
                <c:pt idx="11">
                  <c:v>5.28</c:v>
                </c:pt>
                <c:pt idx="12">
                  <c:v>6</c:v>
                </c:pt>
                <c:pt idx="13">
                  <c:v>7.2</c:v>
                </c:pt>
                <c:pt idx="14">
                  <c:v>8</c:v>
                </c:pt>
                <c:pt idx="15">
                  <c:v>11.4</c:v>
                </c:pt>
              </c:numCache>
            </c:numRef>
          </c:val>
          <c:smooth val="0"/>
          <c:extLst>
            <c:ext xmlns:c16="http://schemas.microsoft.com/office/drawing/2014/chart" uri="{C3380CC4-5D6E-409C-BE32-E72D297353CC}">
              <c16:uniqueId val="{00000002-C367-4346-AEB9-26A517E7D0AD}"/>
            </c:ext>
          </c:extLst>
        </c:ser>
        <c:dLbls>
          <c:showLegendKey val="0"/>
          <c:showVal val="0"/>
          <c:showCatName val="0"/>
          <c:showSerName val="0"/>
          <c:showPercent val="0"/>
          <c:showBubbleSize val="0"/>
        </c:dLbls>
        <c:marker val="1"/>
        <c:smooth val="0"/>
        <c:axId val="346564504"/>
        <c:axId val="346564832"/>
      </c:lineChart>
      <c:catAx>
        <c:axId val="346564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6564832"/>
        <c:crosses val="autoZero"/>
        <c:auto val="1"/>
        <c:lblAlgn val="ctr"/>
        <c:lblOffset val="100"/>
        <c:noMultiLvlLbl val="0"/>
      </c:catAx>
      <c:valAx>
        <c:axId val="346564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346564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MRI for Atlanta by Price Range 2019 Qtr 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cked"/>
        <c:varyColors val="0"/>
        <c:ser>
          <c:idx val="0"/>
          <c:order val="0"/>
          <c:tx>
            <c:strRef>
              <c:f>Months_of_Inventory_Remaining_P!$N$1:$N$2</c:f>
              <c:strCache>
                <c:ptCount val="2"/>
                <c:pt idx="0">
                  <c:v>Atlanta</c:v>
                </c:pt>
                <c:pt idx="1">
                  <c:v>MRI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Months_of_Inventory_Remaining_P!$M$3:$M$17</c:f>
              <c:strCache>
                <c:ptCount val="15"/>
                <c:pt idx="0">
                  <c:v>&lt; 200</c:v>
                </c:pt>
                <c:pt idx="1">
                  <c:v>200--299</c:v>
                </c:pt>
                <c:pt idx="2">
                  <c:v>300--399</c:v>
                </c:pt>
                <c:pt idx="3">
                  <c:v>400--499</c:v>
                </c:pt>
                <c:pt idx="4">
                  <c:v>500--599</c:v>
                </c:pt>
                <c:pt idx="5">
                  <c:v>600--699</c:v>
                </c:pt>
                <c:pt idx="6">
                  <c:v>700--799</c:v>
                </c:pt>
                <c:pt idx="7">
                  <c:v>800--899</c:v>
                </c:pt>
                <c:pt idx="8">
                  <c:v>900--999</c:v>
                </c:pt>
                <c:pt idx="9">
                  <c:v>1000--1099</c:v>
                </c:pt>
                <c:pt idx="10">
                  <c:v>1100--1199</c:v>
                </c:pt>
                <c:pt idx="11">
                  <c:v>1200--1299</c:v>
                </c:pt>
                <c:pt idx="12">
                  <c:v>1300--1399</c:v>
                </c:pt>
                <c:pt idx="13">
                  <c:v>1400--1499</c:v>
                </c:pt>
                <c:pt idx="14">
                  <c:v>&gt;= 1500</c:v>
                </c:pt>
              </c:strCache>
            </c:strRef>
          </c:cat>
          <c:val>
            <c:numRef>
              <c:f>Months_of_Inventory_Remaining_P!$N$3:$N$17</c:f>
              <c:numCache>
                <c:formatCode>General</c:formatCode>
                <c:ptCount val="15"/>
                <c:pt idx="0">
                  <c:v>3</c:v>
                </c:pt>
                <c:pt idx="1">
                  <c:v>3.6</c:v>
                </c:pt>
                <c:pt idx="2">
                  <c:v>3.84</c:v>
                </c:pt>
                <c:pt idx="3">
                  <c:v>4.08</c:v>
                </c:pt>
                <c:pt idx="4">
                  <c:v>4.2</c:v>
                </c:pt>
                <c:pt idx="5">
                  <c:v>5.28</c:v>
                </c:pt>
                <c:pt idx="6">
                  <c:v>4.5599999999999996</c:v>
                </c:pt>
                <c:pt idx="7">
                  <c:v>6.48</c:v>
                </c:pt>
                <c:pt idx="8">
                  <c:v>7.56</c:v>
                </c:pt>
                <c:pt idx="9">
                  <c:v>8.16</c:v>
                </c:pt>
                <c:pt idx="10">
                  <c:v>7.08</c:v>
                </c:pt>
                <c:pt idx="11">
                  <c:v>8.8800000000000008</c:v>
                </c:pt>
                <c:pt idx="12">
                  <c:v>8.8800000000000008</c:v>
                </c:pt>
                <c:pt idx="13">
                  <c:v>9</c:v>
                </c:pt>
                <c:pt idx="14">
                  <c:v>12.36</c:v>
                </c:pt>
              </c:numCache>
            </c:numRef>
          </c:val>
          <c:smooth val="0"/>
          <c:extLst>
            <c:ext xmlns:c16="http://schemas.microsoft.com/office/drawing/2014/chart" uri="{C3380CC4-5D6E-409C-BE32-E72D297353CC}">
              <c16:uniqueId val="{00000000-30D1-4185-9C75-929E3B388E4F}"/>
            </c:ext>
          </c:extLst>
        </c:ser>
        <c:dLbls>
          <c:showLegendKey val="0"/>
          <c:showVal val="0"/>
          <c:showCatName val="0"/>
          <c:showSerName val="0"/>
          <c:showPercent val="0"/>
          <c:showBubbleSize val="0"/>
        </c:dLbls>
        <c:marker val="1"/>
        <c:smooth val="0"/>
        <c:axId val="632296944"/>
        <c:axId val="632297928"/>
      </c:lineChart>
      <c:catAx>
        <c:axId val="63229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297928"/>
        <c:crosses val="autoZero"/>
        <c:auto val="1"/>
        <c:lblAlgn val="ctr"/>
        <c:lblOffset val="100"/>
        <c:noMultiLvlLbl val="0"/>
      </c:catAx>
      <c:valAx>
        <c:axId val="632297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296944"/>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MRI for San Diego by Price Range 2019 Qtr 2</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cked"/>
        <c:varyColors val="0"/>
        <c:ser>
          <c:idx val="0"/>
          <c:order val="0"/>
          <c:tx>
            <c:strRef>
              <c:f>Months_of_Inventory_Remaining_P!$D$2</c:f>
              <c:strCache>
                <c:ptCount val="1"/>
                <c:pt idx="0">
                  <c:v>San Diego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Months_of_Inventory_Remaining_P!$C$3:$C$14</c:f>
              <c:strCache>
                <c:ptCount val="12"/>
                <c:pt idx="0">
                  <c:v>&lt; 400</c:v>
                </c:pt>
                <c:pt idx="1">
                  <c:v>400--599</c:v>
                </c:pt>
                <c:pt idx="2">
                  <c:v>600--799</c:v>
                </c:pt>
                <c:pt idx="3">
                  <c:v>800--999</c:v>
                </c:pt>
                <c:pt idx="4">
                  <c:v>1000--1199</c:v>
                </c:pt>
                <c:pt idx="5">
                  <c:v>1200--1399</c:v>
                </c:pt>
                <c:pt idx="6">
                  <c:v>1400--1599</c:v>
                </c:pt>
                <c:pt idx="7">
                  <c:v>1600--1799</c:v>
                </c:pt>
                <c:pt idx="8">
                  <c:v>1800--1999</c:v>
                </c:pt>
                <c:pt idx="9">
                  <c:v>2000--2199</c:v>
                </c:pt>
                <c:pt idx="10">
                  <c:v>2200--2399</c:v>
                </c:pt>
                <c:pt idx="11">
                  <c:v>&gt;= 2400</c:v>
                </c:pt>
              </c:strCache>
            </c:strRef>
          </c:cat>
          <c:val>
            <c:numRef>
              <c:f>Months_of_Inventory_Remaining_P!$D$3:$D$14</c:f>
              <c:numCache>
                <c:formatCode>General</c:formatCode>
                <c:ptCount val="12"/>
                <c:pt idx="0">
                  <c:v>3.24</c:v>
                </c:pt>
                <c:pt idx="1">
                  <c:v>2.88</c:v>
                </c:pt>
                <c:pt idx="2">
                  <c:v>4.08</c:v>
                </c:pt>
                <c:pt idx="3">
                  <c:v>5.16</c:v>
                </c:pt>
                <c:pt idx="4">
                  <c:v>4.92</c:v>
                </c:pt>
                <c:pt idx="5">
                  <c:v>5.4</c:v>
                </c:pt>
                <c:pt idx="6">
                  <c:v>6.96</c:v>
                </c:pt>
                <c:pt idx="7">
                  <c:v>7.56</c:v>
                </c:pt>
                <c:pt idx="8">
                  <c:v>7.44</c:v>
                </c:pt>
                <c:pt idx="9">
                  <c:v>7.8</c:v>
                </c:pt>
                <c:pt idx="10">
                  <c:v>8.8800000000000008</c:v>
                </c:pt>
                <c:pt idx="11">
                  <c:v>13.44</c:v>
                </c:pt>
              </c:numCache>
            </c:numRef>
          </c:val>
          <c:smooth val="0"/>
          <c:extLst>
            <c:ext xmlns:c16="http://schemas.microsoft.com/office/drawing/2014/chart" uri="{C3380CC4-5D6E-409C-BE32-E72D297353CC}">
              <c16:uniqueId val="{00000000-46DA-4310-9296-3C5FB6CF1178}"/>
            </c:ext>
          </c:extLst>
        </c:ser>
        <c:dLbls>
          <c:showLegendKey val="0"/>
          <c:showVal val="0"/>
          <c:showCatName val="0"/>
          <c:showSerName val="0"/>
          <c:showPercent val="0"/>
          <c:showBubbleSize val="0"/>
        </c:dLbls>
        <c:marker val="1"/>
        <c:smooth val="0"/>
        <c:axId val="632310720"/>
        <c:axId val="632308424"/>
      </c:lineChart>
      <c:catAx>
        <c:axId val="63231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308424"/>
        <c:crosses val="autoZero"/>
        <c:auto val="1"/>
        <c:lblAlgn val="ctr"/>
        <c:lblOffset val="100"/>
        <c:noMultiLvlLbl val="0"/>
      </c:catAx>
      <c:valAx>
        <c:axId val="632308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310720"/>
        <c:crosses val="autoZero"/>
        <c:crossBetween val="between"/>
        <c:majorUnit val="2"/>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Average Days on Market </a:t>
            </a:r>
            <a:endParaRPr lang="en-US" sz="1200">
              <a:latin typeface="Times New Roman" panose="02020603050405020304" pitchFamily="18" charset="0"/>
              <a:cs typeface="Times New Roman" panose="02020603050405020304" pitchFamily="18" charset="0"/>
            </a:endParaRPr>
          </a:p>
          <a:p>
            <a:pPr>
              <a:defRPr>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from 2001Qtr1-2019Qtr1 for all CBSAs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strRef>
              <c:f>Sheet5!$A$1:$A$57</c:f>
              <c:strCache>
                <c:ptCount val="57"/>
                <c:pt idx="0">
                  <c:v>2005Qtr1</c:v>
                </c:pt>
                <c:pt idx="1">
                  <c:v>2005Qtr2</c:v>
                </c:pt>
                <c:pt idx="2">
                  <c:v>2005Qtr3</c:v>
                </c:pt>
                <c:pt idx="3">
                  <c:v>2005Qtr4</c:v>
                </c:pt>
                <c:pt idx="4">
                  <c:v>2006Qtr1</c:v>
                </c:pt>
                <c:pt idx="5">
                  <c:v>2006Qtr2</c:v>
                </c:pt>
                <c:pt idx="6">
                  <c:v>2006Qtr3</c:v>
                </c:pt>
                <c:pt idx="7">
                  <c:v>2006Qtr4</c:v>
                </c:pt>
                <c:pt idx="8">
                  <c:v>2007Qtr1</c:v>
                </c:pt>
                <c:pt idx="9">
                  <c:v>2007Qtr2</c:v>
                </c:pt>
                <c:pt idx="10">
                  <c:v>2007Qtr3</c:v>
                </c:pt>
                <c:pt idx="11">
                  <c:v>2007Qtr4</c:v>
                </c:pt>
                <c:pt idx="12">
                  <c:v>2008Qtr1</c:v>
                </c:pt>
                <c:pt idx="13">
                  <c:v>2008Qtr2</c:v>
                </c:pt>
                <c:pt idx="14">
                  <c:v>2008Qtr3</c:v>
                </c:pt>
                <c:pt idx="15">
                  <c:v>2008Qtr4</c:v>
                </c:pt>
                <c:pt idx="16">
                  <c:v>2009Qtr1</c:v>
                </c:pt>
                <c:pt idx="17">
                  <c:v>2009Qtr2</c:v>
                </c:pt>
                <c:pt idx="18">
                  <c:v>2009Qtr3</c:v>
                </c:pt>
                <c:pt idx="19">
                  <c:v>2009Qtr4</c:v>
                </c:pt>
                <c:pt idx="20">
                  <c:v>2010Qtr1</c:v>
                </c:pt>
                <c:pt idx="21">
                  <c:v>2010Qtr2</c:v>
                </c:pt>
                <c:pt idx="22">
                  <c:v>2010Qtr3</c:v>
                </c:pt>
                <c:pt idx="23">
                  <c:v>2010Qtr4</c:v>
                </c:pt>
                <c:pt idx="24">
                  <c:v>2011Qtr1</c:v>
                </c:pt>
                <c:pt idx="25">
                  <c:v>2011Qtr2</c:v>
                </c:pt>
                <c:pt idx="26">
                  <c:v>2011Qtr3</c:v>
                </c:pt>
                <c:pt idx="27">
                  <c:v>2011Qtr4</c:v>
                </c:pt>
                <c:pt idx="28">
                  <c:v>2012Qtr1</c:v>
                </c:pt>
                <c:pt idx="29">
                  <c:v>2012Qtr2</c:v>
                </c:pt>
                <c:pt idx="30">
                  <c:v>2012Qtr3</c:v>
                </c:pt>
                <c:pt idx="31">
                  <c:v>2012Qtr4</c:v>
                </c:pt>
                <c:pt idx="32">
                  <c:v>2013Qtr1</c:v>
                </c:pt>
                <c:pt idx="33">
                  <c:v>2013Qtr2</c:v>
                </c:pt>
                <c:pt idx="34">
                  <c:v>2013Qtr3</c:v>
                </c:pt>
                <c:pt idx="35">
                  <c:v>2013Qtr4</c:v>
                </c:pt>
                <c:pt idx="36">
                  <c:v>2014Qtr1</c:v>
                </c:pt>
                <c:pt idx="37">
                  <c:v>2014Qtr2</c:v>
                </c:pt>
                <c:pt idx="38">
                  <c:v>2014Qtr3</c:v>
                </c:pt>
                <c:pt idx="39">
                  <c:v>2014Qtr4</c:v>
                </c:pt>
                <c:pt idx="40">
                  <c:v>2015Qtr1</c:v>
                </c:pt>
                <c:pt idx="41">
                  <c:v>2015Qtr2</c:v>
                </c:pt>
                <c:pt idx="42">
                  <c:v>2015Qtr3</c:v>
                </c:pt>
                <c:pt idx="43">
                  <c:v>2015Qtr4</c:v>
                </c:pt>
                <c:pt idx="44">
                  <c:v>2016Qtr1</c:v>
                </c:pt>
                <c:pt idx="45">
                  <c:v>2016Qtr2</c:v>
                </c:pt>
                <c:pt idx="46">
                  <c:v>2016Qtr3</c:v>
                </c:pt>
                <c:pt idx="47">
                  <c:v>2016Qtr4</c:v>
                </c:pt>
                <c:pt idx="48">
                  <c:v>2017Qtr1</c:v>
                </c:pt>
                <c:pt idx="49">
                  <c:v>2017Qtr2</c:v>
                </c:pt>
                <c:pt idx="50">
                  <c:v>2017Qtr3</c:v>
                </c:pt>
                <c:pt idx="51">
                  <c:v>2017Qtr4</c:v>
                </c:pt>
                <c:pt idx="52">
                  <c:v>2018Qtr1</c:v>
                </c:pt>
                <c:pt idx="53">
                  <c:v>2018Qtr2</c:v>
                </c:pt>
                <c:pt idx="54">
                  <c:v>2018Qtr3</c:v>
                </c:pt>
                <c:pt idx="55">
                  <c:v>2018Qtr4</c:v>
                </c:pt>
                <c:pt idx="56">
                  <c:v>2019Qtr1</c:v>
                </c:pt>
              </c:strCache>
            </c:strRef>
          </c:cat>
          <c:val>
            <c:numRef>
              <c:f>Sheet5!$B$1:$B$57</c:f>
              <c:numCache>
                <c:formatCode>0.00</c:formatCode>
                <c:ptCount val="57"/>
                <c:pt idx="0">
                  <c:v>83.226063829787236</c:v>
                </c:pt>
                <c:pt idx="1">
                  <c:v>77.106951871657756</c:v>
                </c:pt>
                <c:pt idx="2">
                  <c:v>73.526455026455025</c:v>
                </c:pt>
                <c:pt idx="3">
                  <c:v>79.316489361702125</c:v>
                </c:pt>
                <c:pt idx="4">
                  <c:v>88.0078125</c:v>
                </c:pt>
                <c:pt idx="5">
                  <c:v>79.198453608247419</c:v>
                </c:pt>
                <c:pt idx="6">
                  <c:v>85.329896907216494</c:v>
                </c:pt>
                <c:pt idx="7">
                  <c:v>91.824607329842934</c:v>
                </c:pt>
                <c:pt idx="8">
                  <c:v>102.31538461538462</c:v>
                </c:pt>
                <c:pt idx="9">
                  <c:v>88.572164948453604</c:v>
                </c:pt>
                <c:pt idx="10">
                  <c:v>91.079487179487174</c:v>
                </c:pt>
                <c:pt idx="11">
                  <c:v>100.00510204081633</c:v>
                </c:pt>
                <c:pt idx="12">
                  <c:v>110.3923076923077</c:v>
                </c:pt>
                <c:pt idx="13">
                  <c:v>96.280612244897952</c:v>
                </c:pt>
                <c:pt idx="14">
                  <c:v>95.784615384615378</c:v>
                </c:pt>
                <c:pt idx="15">
                  <c:v>99.304568527918775</c:v>
                </c:pt>
                <c:pt idx="16">
                  <c:v>111.01010101010101</c:v>
                </c:pt>
                <c:pt idx="17">
                  <c:v>99.904522613065325</c:v>
                </c:pt>
                <c:pt idx="18">
                  <c:v>97.130653266331663</c:v>
                </c:pt>
                <c:pt idx="19">
                  <c:v>47.384999999999998</c:v>
                </c:pt>
                <c:pt idx="20">
                  <c:v>104.11306532663316</c:v>
                </c:pt>
                <c:pt idx="21">
                  <c:v>94.427135678391963</c:v>
                </c:pt>
                <c:pt idx="22">
                  <c:v>101.30402010050251</c:v>
                </c:pt>
                <c:pt idx="23">
                  <c:v>111.68434343434343</c:v>
                </c:pt>
                <c:pt idx="24">
                  <c:v>119.39949748743719</c:v>
                </c:pt>
                <c:pt idx="25">
                  <c:v>103.44949494949495</c:v>
                </c:pt>
                <c:pt idx="26">
                  <c:v>104.55555555555556</c:v>
                </c:pt>
                <c:pt idx="27">
                  <c:v>111.86934673366834</c:v>
                </c:pt>
                <c:pt idx="28">
                  <c:v>116.3989898989899</c:v>
                </c:pt>
                <c:pt idx="29">
                  <c:v>97.64</c:v>
                </c:pt>
                <c:pt idx="30">
                  <c:v>99.914572864321613</c:v>
                </c:pt>
                <c:pt idx="31">
                  <c:v>104.95226130653266</c:v>
                </c:pt>
                <c:pt idx="32">
                  <c:v>107.821608040201</c:v>
                </c:pt>
                <c:pt idx="33">
                  <c:v>88.462311557788951</c:v>
                </c:pt>
                <c:pt idx="34">
                  <c:v>87.173366834170849</c:v>
                </c:pt>
                <c:pt idx="35">
                  <c:v>94.577889447236174</c:v>
                </c:pt>
                <c:pt idx="36">
                  <c:v>103.29</c:v>
                </c:pt>
                <c:pt idx="37">
                  <c:v>85.327500000000001</c:v>
                </c:pt>
                <c:pt idx="38">
                  <c:v>85.540201005025125</c:v>
                </c:pt>
                <c:pt idx="39">
                  <c:v>93.08040201005025</c:v>
                </c:pt>
                <c:pt idx="40">
                  <c:v>101.48241206030151</c:v>
                </c:pt>
                <c:pt idx="41">
                  <c:v>81.215000000000003</c:v>
                </c:pt>
                <c:pt idx="42">
                  <c:v>81.233668341708537</c:v>
                </c:pt>
                <c:pt idx="43">
                  <c:v>89.763819095477388</c:v>
                </c:pt>
                <c:pt idx="44">
                  <c:v>98.332499999999996</c:v>
                </c:pt>
                <c:pt idx="45">
                  <c:v>77.547499999999999</c:v>
                </c:pt>
                <c:pt idx="46">
                  <c:v>78.217500000000001</c:v>
                </c:pt>
                <c:pt idx="47">
                  <c:v>84.142499999999998</c:v>
                </c:pt>
                <c:pt idx="48">
                  <c:v>88.387500000000003</c:v>
                </c:pt>
                <c:pt idx="49">
                  <c:v>69.900000000000006</c:v>
                </c:pt>
                <c:pt idx="50">
                  <c:v>69.674999999999997</c:v>
                </c:pt>
                <c:pt idx="51">
                  <c:v>75.247500000000002</c:v>
                </c:pt>
                <c:pt idx="52">
                  <c:v>76.972499999999997</c:v>
                </c:pt>
                <c:pt idx="53">
                  <c:v>61.895000000000003</c:v>
                </c:pt>
                <c:pt idx="54">
                  <c:v>63.344999999999999</c:v>
                </c:pt>
                <c:pt idx="55">
                  <c:v>69.607500000000002</c:v>
                </c:pt>
                <c:pt idx="56">
                  <c:v>75.11</c:v>
                </c:pt>
              </c:numCache>
            </c:numRef>
          </c:val>
          <c:smooth val="0"/>
          <c:extLst>
            <c:ext xmlns:c16="http://schemas.microsoft.com/office/drawing/2014/chart" uri="{C3380CC4-5D6E-409C-BE32-E72D297353CC}">
              <c16:uniqueId val="{00000000-BE4D-40E0-9890-EABAC9AFCB03}"/>
            </c:ext>
          </c:extLst>
        </c:ser>
        <c:dLbls>
          <c:showLegendKey val="0"/>
          <c:showVal val="0"/>
          <c:showCatName val="0"/>
          <c:showSerName val="0"/>
          <c:showPercent val="0"/>
          <c:showBubbleSize val="0"/>
        </c:dLbls>
        <c:smooth val="0"/>
        <c:axId val="600385536"/>
        <c:axId val="600384880"/>
      </c:lineChart>
      <c:catAx>
        <c:axId val="6003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0384880"/>
        <c:crosses val="autoZero"/>
        <c:auto val="1"/>
        <c:lblAlgn val="ctr"/>
        <c:lblOffset val="100"/>
        <c:noMultiLvlLbl val="0"/>
      </c:catAx>
      <c:valAx>
        <c:axId val="600384880"/>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00385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[Top CBSA RSFR Quarterly Market Indicators for Sold DOM Model (2005-2019).xlsx]Sheet3!PivotTable10</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6.6039661708953049E-2"/>
          <c:y val="3.4553164755771949E-2"/>
          <c:w val="0.86370662000583265"/>
          <c:h val="0.81710913432821053"/>
        </c:manualLayout>
      </c:layout>
      <c:lineChart>
        <c:grouping val="standard"/>
        <c:varyColors val="0"/>
        <c:ser>
          <c:idx val="1"/>
          <c:order val="1"/>
          <c:tx>
            <c:strRef>
              <c:f>Sheet3!$C$3</c:f>
              <c:strCache>
                <c:ptCount val="1"/>
                <c:pt idx="0">
                  <c:v>Average of Sold DOM</c:v>
                </c:pt>
              </c:strCache>
            </c:strRef>
          </c:tx>
          <c:spPr>
            <a:ln w="28575" cap="rnd">
              <a:solidFill>
                <a:schemeClr val="accent2"/>
              </a:solidFill>
              <a:round/>
            </a:ln>
            <a:effectLst/>
          </c:spPr>
          <c:marker>
            <c:symbol val="none"/>
          </c:marker>
          <c:cat>
            <c:strRef>
              <c:f>Sheet3!$A$4:$A$61</c:f>
              <c:strCache>
                <c:ptCount val="57"/>
                <c:pt idx="0">
                  <c:v>2005Qtr1</c:v>
                </c:pt>
                <c:pt idx="1">
                  <c:v>2005Qtr2</c:v>
                </c:pt>
                <c:pt idx="2">
                  <c:v>2005Qtr3</c:v>
                </c:pt>
                <c:pt idx="3">
                  <c:v>2005Qtr4</c:v>
                </c:pt>
                <c:pt idx="4">
                  <c:v>2006Qtr1</c:v>
                </c:pt>
                <c:pt idx="5">
                  <c:v>2006Qtr2</c:v>
                </c:pt>
                <c:pt idx="6">
                  <c:v>2006Qtr3</c:v>
                </c:pt>
                <c:pt idx="7">
                  <c:v>2006Qtr4</c:v>
                </c:pt>
                <c:pt idx="8">
                  <c:v>2007Qtr1</c:v>
                </c:pt>
                <c:pt idx="9">
                  <c:v>2007Qtr2</c:v>
                </c:pt>
                <c:pt idx="10">
                  <c:v>2007Qtr3</c:v>
                </c:pt>
                <c:pt idx="11">
                  <c:v>2007Qtr4</c:v>
                </c:pt>
                <c:pt idx="12">
                  <c:v>2008Qtr1</c:v>
                </c:pt>
                <c:pt idx="13">
                  <c:v>2008Qtr2</c:v>
                </c:pt>
                <c:pt idx="14">
                  <c:v>2008Qtr3</c:v>
                </c:pt>
                <c:pt idx="15">
                  <c:v>2008Qtr4</c:v>
                </c:pt>
                <c:pt idx="16">
                  <c:v>2009Qtr1</c:v>
                </c:pt>
                <c:pt idx="17">
                  <c:v>2009Qtr2</c:v>
                </c:pt>
                <c:pt idx="18">
                  <c:v>2009Qtr3</c:v>
                </c:pt>
                <c:pt idx="19">
                  <c:v>2009Qtr4</c:v>
                </c:pt>
                <c:pt idx="20">
                  <c:v>2010Qtr1</c:v>
                </c:pt>
                <c:pt idx="21">
                  <c:v>2010Qtr2</c:v>
                </c:pt>
                <c:pt idx="22">
                  <c:v>2010Qtr3</c:v>
                </c:pt>
                <c:pt idx="23">
                  <c:v>2010Qtr4</c:v>
                </c:pt>
                <c:pt idx="24">
                  <c:v>2011Qtr1</c:v>
                </c:pt>
                <c:pt idx="25">
                  <c:v>2011Qtr2</c:v>
                </c:pt>
                <c:pt idx="26">
                  <c:v>2011Qtr3</c:v>
                </c:pt>
                <c:pt idx="27">
                  <c:v>2011Qtr4</c:v>
                </c:pt>
                <c:pt idx="28">
                  <c:v>2012Qtr1</c:v>
                </c:pt>
                <c:pt idx="29">
                  <c:v>2012Qtr2</c:v>
                </c:pt>
                <c:pt idx="30">
                  <c:v>2012Qtr3</c:v>
                </c:pt>
                <c:pt idx="31">
                  <c:v>2012Qtr4</c:v>
                </c:pt>
                <c:pt idx="32">
                  <c:v>2013Qtr1</c:v>
                </c:pt>
                <c:pt idx="33">
                  <c:v>2013Qtr2</c:v>
                </c:pt>
                <c:pt idx="34">
                  <c:v>2013Qtr3</c:v>
                </c:pt>
                <c:pt idx="35">
                  <c:v>2013Qtr4</c:v>
                </c:pt>
                <c:pt idx="36">
                  <c:v>2014Qtr1</c:v>
                </c:pt>
                <c:pt idx="37">
                  <c:v>2014Qtr2</c:v>
                </c:pt>
                <c:pt idx="38">
                  <c:v>2014Qtr3</c:v>
                </c:pt>
                <c:pt idx="39">
                  <c:v>2014Qtr4</c:v>
                </c:pt>
                <c:pt idx="40">
                  <c:v>2015Qtr1</c:v>
                </c:pt>
                <c:pt idx="41">
                  <c:v>2015Qtr2</c:v>
                </c:pt>
                <c:pt idx="42">
                  <c:v>2015Qtr3</c:v>
                </c:pt>
                <c:pt idx="43">
                  <c:v>2015Qtr4</c:v>
                </c:pt>
                <c:pt idx="44">
                  <c:v>2016Qtr1</c:v>
                </c:pt>
                <c:pt idx="45">
                  <c:v>2016Qtr2</c:v>
                </c:pt>
                <c:pt idx="46">
                  <c:v>2016Qtr3</c:v>
                </c:pt>
                <c:pt idx="47">
                  <c:v>2016Qtr4</c:v>
                </c:pt>
                <c:pt idx="48">
                  <c:v>2017Qtr1</c:v>
                </c:pt>
                <c:pt idx="49">
                  <c:v>2017Qtr2</c:v>
                </c:pt>
                <c:pt idx="50">
                  <c:v>2017Qtr3</c:v>
                </c:pt>
                <c:pt idx="51">
                  <c:v>2017Qtr4</c:v>
                </c:pt>
                <c:pt idx="52">
                  <c:v>2018Qtr1</c:v>
                </c:pt>
                <c:pt idx="53">
                  <c:v>2018Qtr2</c:v>
                </c:pt>
                <c:pt idx="54">
                  <c:v>2018Qtr3</c:v>
                </c:pt>
                <c:pt idx="55">
                  <c:v>2018Qtr4</c:v>
                </c:pt>
                <c:pt idx="56">
                  <c:v>2019Qtr1</c:v>
                </c:pt>
              </c:strCache>
            </c:strRef>
          </c:cat>
          <c:val>
            <c:numRef>
              <c:f>Sheet3!$C$4:$C$61</c:f>
              <c:numCache>
                <c:formatCode>General</c:formatCode>
                <c:ptCount val="57"/>
                <c:pt idx="0">
                  <c:v>70</c:v>
                </c:pt>
                <c:pt idx="1">
                  <c:v>69</c:v>
                </c:pt>
                <c:pt idx="2">
                  <c:v>53</c:v>
                </c:pt>
                <c:pt idx="3">
                  <c:v>56</c:v>
                </c:pt>
                <c:pt idx="4">
                  <c:v>58</c:v>
                </c:pt>
                <c:pt idx="5">
                  <c:v>46</c:v>
                </c:pt>
                <c:pt idx="6">
                  <c:v>48</c:v>
                </c:pt>
                <c:pt idx="7">
                  <c:v>58</c:v>
                </c:pt>
                <c:pt idx="8">
                  <c:v>62</c:v>
                </c:pt>
                <c:pt idx="9">
                  <c:v>49</c:v>
                </c:pt>
                <c:pt idx="10">
                  <c:v>53</c:v>
                </c:pt>
                <c:pt idx="11">
                  <c:v>65</c:v>
                </c:pt>
                <c:pt idx="12">
                  <c:v>95</c:v>
                </c:pt>
                <c:pt idx="13">
                  <c:v>81</c:v>
                </c:pt>
                <c:pt idx="14">
                  <c:v>82</c:v>
                </c:pt>
                <c:pt idx="15">
                  <c:v>87</c:v>
                </c:pt>
                <c:pt idx="16">
                  <c:v>92</c:v>
                </c:pt>
                <c:pt idx="17">
                  <c:v>80</c:v>
                </c:pt>
                <c:pt idx="18">
                  <c:v>81</c:v>
                </c:pt>
                <c:pt idx="19">
                  <c:v>84</c:v>
                </c:pt>
                <c:pt idx="20">
                  <c:v>82</c:v>
                </c:pt>
                <c:pt idx="21">
                  <c:v>77</c:v>
                </c:pt>
                <c:pt idx="22">
                  <c:v>87</c:v>
                </c:pt>
                <c:pt idx="23">
                  <c:v>97</c:v>
                </c:pt>
                <c:pt idx="24">
                  <c:v>104</c:v>
                </c:pt>
                <c:pt idx="25">
                  <c:v>88</c:v>
                </c:pt>
                <c:pt idx="26">
                  <c:v>91</c:v>
                </c:pt>
                <c:pt idx="27">
                  <c:v>96</c:v>
                </c:pt>
                <c:pt idx="28">
                  <c:v>92</c:v>
                </c:pt>
                <c:pt idx="29">
                  <c:v>72</c:v>
                </c:pt>
                <c:pt idx="30">
                  <c:v>75</c:v>
                </c:pt>
                <c:pt idx="31">
                  <c:v>78</c:v>
                </c:pt>
                <c:pt idx="32">
                  <c:v>70</c:v>
                </c:pt>
                <c:pt idx="33">
                  <c:v>57</c:v>
                </c:pt>
                <c:pt idx="34">
                  <c:v>56</c:v>
                </c:pt>
                <c:pt idx="35">
                  <c:v>63</c:v>
                </c:pt>
                <c:pt idx="36">
                  <c:v>59</c:v>
                </c:pt>
                <c:pt idx="37">
                  <c:v>52</c:v>
                </c:pt>
                <c:pt idx="38">
                  <c:v>52</c:v>
                </c:pt>
                <c:pt idx="39">
                  <c:v>60</c:v>
                </c:pt>
                <c:pt idx="40">
                  <c:v>55</c:v>
                </c:pt>
                <c:pt idx="41">
                  <c:v>47</c:v>
                </c:pt>
                <c:pt idx="42">
                  <c:v>48</c:v>
                </c:pt>
                <c:pt idx="43">
                  <c:v>60</c:v>
                </c:pt>
                <c:pt idx="44">
                  <c:v>56</c:v>
                </c:pt>
                <c:pt idx="45">
                  <c:v>50</c:v>
                </c:pt>
                <c:pt idx="46">
                  <c:v>51</c:v>
                </c:pt>
                <c:pt idx="47">
                  <c:v>57</c:v>
                </c:pt>
                <c:pt idx="48">
                  <c:v>54</c:v>
                </c:pt>
                <c:pt idx="49">
                  <c:v>48</c:v>
                </c:pt>
                <c:pt idx="50">
                  <c:v>51</c:v>
                </c:pt>
                <c:pt idx="51">
                  <c:v>61</c:v>
                </c:pt>
                <c:pt idx="52">
                  <c:v>56</c:v>
                </c:pt>
                <c:pt idx="53">
                  <c:v>48</c:v>
                </c:pt>
                <c:pt idx="54">
                  <c:v>54</c:v>
                </c:pt>
                <c:pt idx="55">
                  <c:v>73</c:v>
                </c:pt>
                <c:pt idx="56">
                  <c:v>77</c:v>
                </c:pt>
              </c:numCache>
            </c:numRef>
          </c:val>
          <c:smooth val="0"/>
          <c:extLst>
            <c:ext xmlns:c16="http://schemas.microsoft.com/office/drawing/2014/chart" uri="{C3380CC4-5D6E-409C-BE32-E72D297353CC}">
              <c16:uniqueId val="{00000000-C71D-4294-B601-26113D76CCC5}"/>
            </c:ext>
          </c:extLst>
        </c:ser>
        <c:dLbls>
          <c:showLegendKey val="0"/>
          <c:showVal val="0"/>
          <c:showCatName val="0"/>
          <c:showSerName val="0"/>
          <c:showPercent val="0"/>
          <c:showBubbleSize val="0"/>
        </c:dLbls>
        <c:marker val="1"/>
        <c:smooth val="0"/>
        <c:axId val="821083608"/>
        <c:axId val="821082952"/>
      </c:lineChart>
      <c:lineChart>
        <c:grouping val="standard"/>
        <c:varyColors val="0"/>
        <c:ser>
          <c:idx val="0"/>
          <c:order val="0"/>
          <c:tx>
            <c:strRef>
              <c:f>Sheet3!$B$3</c:f>
              <c:strCache>
                <c:ptCount val="1"/>
                <c:pt idx="0">
                  <c:v>Average of MRI</c:v>
                </c:pt>
              </c:strCache>
            </c:strRef>
          </c:tx>
          <c:spPr>
            <a:ln w="28575" cap="rnd">
              <a:solidFill>
                <a:schemeClr val="accent1"/>
              </a:solidFill>
              <a:round/>
            </a:ln>
            <a:effectLst/>
          </c:spPr>
          <c:marker>
            <c:symbol val="none"/>
          </c:marker>
          <c:cat>
            <c:strRef>
              <c:f>Sheet3!$A$4:$A$61</c:f>
              <c:strCache>
                <c:ptCount val="57"/>
                <c:pt idx="0">
                  <c:v>2005Qtr1</c:v>
                </c:pt>
                <c:pt idx="1">
                  <c:v>2005Qtr2</c:v>
                </c:pt>
                <c:pt idx="2">
                  <c:v>2005Qtr3</c:v>
                </c:pt>
                <c:pt idx="3">
                  <c:v>2005Qtr4</c:v>
                </c:pt>
                <c:pt idx="4">
                  <c:v>2006Qtr1</c:v>
                </c:pt>
                <c:pt idx="5">
                  <c:v>2006Qtr2</c:v>
                </c:pt>
                <c:pt idx="6">
                  <c:v>2006Qtr3</c:v>
                </c:pt>
                <c:pt idx="7">
                  <c:v>2006Qtr4</c:v>
                </c:pt>
                <c:pt idx="8">
                  <c:v>2007Qtr1</c:v>
                </c:pt>
                <c:pt idx="9">
                  <c:v>2007Qtr2</c:v>
                </c:pt>
                <c:pt idx="10">
                  <c:v>2007Qtr3</c:v>
                </c:pt>
                <c:pt idx="11">
                  <c:v>2007Qtr4</c:v>
                </c:pt>
                <c:pt idx="12">
                  <c:v>2008Qtr1</c:v>
                </c:pt>
                <c:pt idx="13">
                  <c:v>2008Qtr2</c:v>
                </c:pt>
                <c:pt idx="14">
                  <c:v>2008Qtr3</c:v>
                </c:pt>
                <c:pt idx="15">
                  <c:v>2008Qtr4</c:v>
                </c:pt>
                <c:pt idx="16">
                  <c:v>2009Qtr1</c:v>
                </c:pt>
                <c:pt idx="17">
                  <c:v>2009Qtr2</c:v>
                </c:pt>
                <c:pt idx="18">
                  <c:v>2009Qtr3</c:v>
                </c:pt>
                <c:pt idx="19">
                  <c:v>2009Qtr4</c:v>
                </c:pt>
                <c:pt idx="20">
                  <c:v>2010Qtr1</c:v>
                </c:pt>
                <c:pt idx="21">
                  <c:v>2010Qtr2</c:v>
                </c:pt>
                <c:pt idx="22">
                  <c:v>2010Qtr3</c:v>
                </c:pt>
                <c:pt idx="23">
                  <c:v>2010Qtr4</c:v>
                </c:pt>
                <c:pt idx="24">
                  <c:v>2011Qtr1</c:v>
                </c:pt>
                <c:pt idx="25">
                  <c:v>2011Qtr2</c:v>
                </c:pt>
                <c:pt idx="26">
                  <c:v>2011Qtr3</c:v>
                </c:pt>
                <c:pt idx="27">
                  <c:v>2011Qtr4</c:v>
                </c:pt>
                <c:pt idx="28">
                  <c:v>2012Qtr1</c:v>
                </c:pt>
                <c:pt idx="29">
                  <c:v>2012Qtr2</c:v>
                </c:pt>
                <c:pt idx="30">
                  <c:v>2012Qtr3</c:v>
                </c:pt>
                <c:pt idx="31">
                  <c:v>2012Qtr4</c:v>
                </c:pt>
                <c:pt idx="32">
                  <c:v>2013Qtr1</c:v>
                </c:pt>
                <c:pt idx="33">
                  <c:v>2013Qtr2</c:v>
                </c:pt>
                <c:pt idx="34">
                  <c:v>2013Qtr3</c:v>
                </c:pt>
                <c:pt idx="35">
                  <c:v>2013Qtr4</c:v>
                </c:pt>
                <c:pt idx="36">
                  <c:v>2014Qtr1</c:v>
                </c:pt>
                <c:pt idx="37">
                  <c:v>2014Qtr2</c:v>
                </c:pt>
                <c:pt idx="38">
                  <c:v>2014Qtr3</c:v>
                </c:pt>
                <c:pt idx="39">
                  <c:v>2014Qtr4</c:v>
                </c:pt>
                <c:pt idx="40">
                  <c:v>2015Qtr1</c:v>
                </c:pt>
                <c:pt idx="41">
                  <c:v>2015Qtr2</c:v>
                </c:pt>
                <c:pt idx="42">
                  <c:v>2015Qtr3</c:v>
                </c:pt>
                <c:pt idx="43">
                  <c:v>2015Qtr4</c:v>
                </c:pt>
                <c:pt idx="44">
                  <c:v>2016Qtr1</c:v>
                </c:pt>
                <c:pt idx="45">
                  <c:v>2016Qtr2</c:v>
                </c:pt>
                <c:pt idx="46">
                  <c:v>2016Qtr3</c:v>
                </c:pt>
                <c:pt idx="47">
                  <c:v>2016Qtr4</c:v>
                </c:pt>
                <c:pt idx="48">
                  <c:v>2017Qtr1</c:v>
                </c:pt>
                <c:pt idx="49">
                  <c:v>2017Qtr2</c:v>
                </c:pt>
                <c:pt idx="50">
                  <c:v>2017Qtr3</c:v>
                </c:pt>
                <c:pt idx="51">
                  <c:v>2017Qtr4</c:v>
                </c:pt>
                <c:pt idx="52">
                  <c:v>2018Qtr1</c:v>
                </c:pt>
                <c:pt idx="53">
                  <c:v>2018Qtr2</c:v>
                </c:pt>
                <c:pt idx="54">
                  <c:v>2018Qtr3</c:v>
                </c:pt>
                <c:pt idx="55">
                  <c:v>2018Qtr4</c:v>
                </c:pt>
                <c:pt idx="56">
                  <c:v>2019Qtr1</c:v>
                </c:pt>
              </c:strCache>
            </c:strRef>
          </c:cat>
          <c:val>
            <c:numRef>
              <c:f>Sheet3!$B$4:$B$61</c:f>
              <c:numCache>
                <c:formatCode>General</c:formatCode>
                <c:ptCount val="57"/>
                <c:pt idx="0">
                  <c:v>4.28</c:v>
                </c:pt>
                <c:pt idx="1">
                  <c:v>3.02</c:v>
                </c:pt>
                <c:pt idx="2">
                  <c:v>2.77</c:v>
                </c:pt>
                <c:pt idx="3">
                  <c:v>3.08</c:v>
                </c:pt>
                <c:pt idx="4">
                  <c:v>4.08</c:v>
                </c:pt>
                <c:pt idx="5">
                  <c:v>3.07</c:v>
                </c:pt>
                <c:pt idx="6">
                  <c:v>3.22</c:v>
                </c:pt>
                <c:pt idx="7">
                  <c:v>4.12</c:v>
                </c:pt>
                <c:pt idx="8">
                  <c:v>6.54</c:v>
                </c:pt>
                <c:pt idx="9">
                  <c:v>5.62</c:v>
                </c:pt>
                <c:pt idx="10">
                  <c:v>5.96</c:v>
                </c:pt>
                <c:pt idx="11">
                  <c:v>7.26</c:v>
                </c:pt>
                <c:pt idx="12">
                  <c:v>9.02</c:v>
                </c:pt>
                <c:pt idx="13">
                  <c:v>7.19</c:v>
                </c:pt>
                <c:pt idx="14">
                  <c:v>6.94</c:v>
                </c:pt>
                <c:pt idx="15">
                  <c:v>8.64</c:v>
                </c:pt>
                <c:pt idx="16">
                  <c:v>10.6</c:v>
                </c:pt>
                <c:pt idx="17">
                  <c:v>8.26</c:v>
                </c:pt>
                <c:pt idx="18">
                  <c:v>7.7</c:v>
                </c:pt>
                <c:pt idx="19">
                  <c:v>7.64</c:v>
                </c:pt>
                <c:pt idx="20">
                  <c:v>11.25</c:v>
                </c:pt>
                <c:pt idx="21">
                  <c:v>7.18</c:v>
                </c:pt>
                <c:pt idx="22">
                  <c:v>10.029999999999999</c:v>
                </c:pt>
                <c:pt idx="23">
                  <c:v>9.57</c:v>
                </c:pt>
                <c:pt idx="24">
                  <c:v>10.11</c:v>
                </c:pt>
                <c:pt idx="25">
                  <c:v>6.66</c:v>
                </c:pt>
                <c:pt idx="26">
                  <c:v>6.14</c:v>
                </c:pt>
                <c:pt idx="27">
                  <c:v>5.82</c:v>
                </c:pt>
                <c:pt idx="28">
                  <c:v>6.99</c:v>
                </c:pt>
                <c:pt idx="29">
                  <c:v>4.8099999999999996</c:v>
                </c:pt>
                <c:pt idx="30">
                  <c:v>4.16</c:v>
                </c:pt>
                <c:pt idx="31">
                  <c:v>3.87</c:v>
                </c:pt>
                <c:pt idx="32">
                  <c:v>5.08</c:v>
                </c:pt>
                <c:pt idx="33">
                  <c:v>3.25</c:v>
                </c:pt>
                <c:pt idx="34">
                  <c:v>3.33</c:v>
                </c:pt>
                <c:pt idx="35">
                  <c:v>3.15</c:v>
                </c:pt>
                <c:pt idx="36">
                  <c:v>3.69</c:v>
                </c:pt>
                <c:pt idx="37">
                  <c:v>3.63</c:v>
                </c:pt>
                <c:pt idx="38">
                  <c:v>2.72</c:v>
                </c:pt>
                <c:pt idx="39">
                  <c:v>2.63</c:v>
                </c:pt>
                <c:pt idx="40">
                  <c:v>3.57</c:v>
                </c:pt>
                <c:pt idx="41">
                  <c:v>2.74</c:v>
                </c:pt>
                <c:pt idx="42">
                  <c:v>2.5</c:v>
                </c:pt>
                <c:pt idx="43">
                  <c:v>2.71</c:v>
                </c:pt>
                <c:pt idx="44">
                  <c:v>3.6</c:v>
                </c:pt>
                <c:pt idx="45">
                  <c:v>2.76</c:v>
                </c:pt>
                <c:pt idx="46">
                  <c:v>2.6</c:v>
                </c:pt>
                <c:pt idx="47">
                  <c:v>2.35</c:v>
                </c:pt>
                <c:pt idx="48">
                  <c:v>3.75</c:v>
                </c:pt>
                <c:pt idx="49">
                  <c:v>2.84</c:v>
                </c:pt>
                <c:pt idx="50">
                  <c:v>2.82</c:v>
                </c:pt>
                <c:pt idx="51">
                  <c:v>2.4</c:v>
                </c:pt>
                <c:pt idx="52">
                  <c:v>3.44</c:v>
                </c:pt>
                <c:pt idx="53">
                  <c:v>2.98</c:v>
                </c:pt>
                <c:pt idx="54">
                  <c:v>3.29</c:v>
                </c:pt>
                <c:pt idx="55">
                  <c:v>5.85</c:v>
                </c:pt>
                <c:pt idx="56">
                  <c:v>6.59</c:v>
                </c:pt>
              </c:numCache>
            </c:numRef>
          </c:val>
          <c:smooth val="0"/>
          <c:extLst>
            <c:ext xmlns:c16="http://schemas.microsoft.com/office/drawing/2014/chart" uri="{C3380CC4-5D6E-409C-BE32-E72D297353CC}">
              <c16:uniqueId val="{00000001-C71D-4294-B601-26113D76CCC5}"/>
            </c:ext>
          </c:extLst>
        </c:ser>
        <c:dLbls>
          <c:showLegendKey val="0"/>
          <c:showVal val="0"/>
          <c:showCatName val="0"/>
          <c:showSerName val="0"/>
          <c:showPercent val="0"/>
          <c:showBubbleSize val="0"/>
        </c:dLbls>
        <c:marker val="1"/>
        <c:smooth val="0"/>
        <c:axId val="821100336"/>
        <c:axId val="821098696"/>
      </c:lineChart>
      <c:catAx>
        <c:axId val="821083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082952"/>
        <c:crosses val="autoZero"/>
        <c:auto val="1"/>
        <c:lblAlgn val="ctr"/>
        <c:lblOffset val="100"/>
        <c:noMultiLvlLbl val="0"/>
      </c:catAx>
      <c:valAx>
        <c:axId val="821082952"/>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083608"/>
        <c:crosses val="autoZero"/>
        <c:crossBetween val="between"/>
      </c:valAx>
      <c:valAx>
        <c:axId val="8210986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100336"/>
        <c:crosses val="max"/>
        <c:crossBetween val="between"/>
      </c:valAx>
      <c:catAx>
        <c:axId val="821100336"/>
        <c:scaling>
          <c:orientation val="minMax"/>
        </c:scaling>
        <c:delete val="1"/>
        <c:axPos val="b"/>
        <c:numFmt formatCode="General" sourceLinked="1"/>
        <c:majorTickMark val="out"/>
        <c:minorTickMark val="none"/>
        <c:tickLblPos val="nextTo"/>
        <c:crossAx val="821098696"/>
        <c:crosses val="autoZero"/>
        <c:auto val="1"/>
        <c:lblAlgn val="ctr"/>
        <c:lblOffset val="100"/>
        <c:noMultiLvlLbl val="0"/>
      </c:catAx>
      <c:spPr>
        <a:noFill/>
        <a:ln>
          <a:noFill/>
        </a:ln>
        <a:effectLst/>
      </c:spPr>
    </c:plotArea>
    <c:legend>
      <c:legendPos val="r"/>
      <c:layout>
        <c:manualLayout>
          <c:xMode val="edge"/>
          <c:yMode val="edge"/>
          <c:x val="0.5824526100904055"/>
          <c:y val="6.690699707769758E-2"/>
          <c:w val="0.25088072324292798"/>
          <c:h val="0.106016133879291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[Top CBSA RSFR Quarterly Market Indicators for Sold DOM Model (2005-2019).xlsx]Sheet3!PivotTable10</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6.6039661708953049E-2"/>
          <c:y val="3.4553164755771949E-2"/>
          <c:w val="0.86602143482064742"/>
          <c:h val="0.81710913432821053"/>
        </c:manualLayout>
      </c:layout>
      <c:lineChart>
        <c:grouping val="standard"/>
        <c:varyColors val="0"/>
        <c:ser>
          <c:idx val="1"/>
          <c:order val="1"/>
          <c:tx>
            <c:strRef>
              <c:f>Sheet3!$C$3</c:f>
              <c:strCache>
                <c:ptCount val="1"/>
                <c:pt idx="0">
                  <c:v>Average of Sold DOM</c:v>
                </c:pt>
              </c:strCache>
            </c:strRef>
          </c:tx>
          <c:spPr>
            <a:ln w="28575" cap="rnd">
              <a:solidFill>
                <a:schemeClr val="accent2"/>
              </a:solidFill>
              <a:round/>
            </a:ln>
            <a:effectLst/>
          </c:spPr>
          <c:marker>
            <c:symbol val="none"/>
          </c:marker>
          <c:cat>
            <c:strRef>
              <c:f>Sheet3!$A$4:$A$61</c:f>
              <c:strCache>
                <c:ptCount val="57"/>
                <c:pt idx="0">
                  <c:v>2005Qtr1</c:v>
                </c:pt>
                <c:pt idx="1">
                  <c:v>2005Qtr2</c:v>
                </c:pt>
                <c:pt idx="2">
                  <c:v>2005Qtr3</c:v>
                </c:pt>
                <c:pt idx="3">
                  <c:v>2005Qtr4</c:v>
                </c:pt>
                <c:pt idx="4">
                  <c:v>2006Qtr1</c:v>
                </c:pt>
                <c:pt idx="5">
                  <c:v>2006Qtr2</c:v>
                </c:pt>
                <c:pt idx="6">
                  <c:v>2006Qtr3</c:v>
                </c:pt>
                <c:pt idx="7">
                  <c:v>2006Qtr4</c:v>
                </c:pt>
                <c:pt idx="8">
                  <c:v>2007Qtr1</c:v>
                </c:pt>
                <c:pt idx="9">
                  <c:v>2007Qtr2</c:v>
                </c:pt>
                <c:pt idx="10">
                  <c:v>2007Qtr3</c:v>
                </c:pt>
                <c:pt idx="11">
                  <c:v>2007Qtr4</c:v>
                </c:pt>
                <c:pt idx="12">
                  <c:v>2008Qtr1</c:v>
                </c:pt>
                <c:pt idx="13">
                  <c:v>2008Qtr2</c:v>
                </c:pt>
                <c:pt idx="14">
                  <c:v>2008Qtr3</c:v>
                </c:pt>
                <c:pt idx="15">
                  <c:v>2008Qtr4</c:v>
                </c:pt>
                <c:pt idx="16">
                  <c:v>2009Qtr1</c:v>
                </c:pt>
                <c:pt idx="17">
                  <c:v>2009Qtr2</c:v>
                </c:pt>
                <c:pt idx="18">
                  <c:v>2009Qtr3</c:v>
                </c:pt>
                <c:pt idx="19">
                  <c:v>2009Qtr4</c:v>
                </c:pt>
                <c:pt idx="20">
                  <c:v>2010Qtr1</c:v>
                </c:pt>
                <c:pt idx="21">
                  <c:v>2010Qtr2</c:v>
                </c:pt>
                <c:pt idx="22">
                  <c:v>2010Qtr3</c:v>
                </c:pt>
                <c:pt idx="23">
                  <c:v>2010Qtr4</c:v>
                </c:pt>
                <c:pt idx="24">
                  <c:v>2011Qtr1</c:v>
                </c:pt>
                <c:pt idx="25">
                  <c:v>2011Qtr2</c:v>
                </c:pt>
                <c:pt idx="26">
                  <c:v>2011Qtr3</c:v>
                </c:pt>
                <c:pt idx="27">
                  <c:v>2011Qtr4</c:v>
                </c:pt>
                <c:pt idx="28">
                  <c:v>2012Qtr1</c:v>
                </c:pt>
                <c:pt idx="29">
                  <c:v>2012Qtr2</c:v>
                </c:pt>
                <c:pt idx="30">
                  <c:v>2012Qtr3</c:v>
                </c:pt>
                <c:pt idx="31">
                  <c:v>2012Qtr4</c:v>
                </c:pt>
                <c:pt idx="32">
                  <c:v>2013Qtr1</c:v>
                </c:pt>
                <c:pt idx="33">
                  <c:v>2013Qtr2</c:v>
                </c:pt>
                <c:pt idx="34">
                  <c:v>2013Qtr3</c:v>
                </c:pt>
                <c:pt idx="35">
                  <c:v>2013Qtr4</c:v>
                </c:pt>
                <c:pt idx="36">
                  <c:v>2014Qtr1</c:v>
                </c:pt>
                <c:pt idx="37">
                  <c:v>2014Qtr2</c:v>
                </c:pt>
                <c:pt idx="38">
                  <c:v>2014Qtr3</c:v>
                </c:pt>
                <c:pt idx="39">
                  <c:v>2014Qtr4</c:v>
                </c:pt>
                <c:pt idx="40">
                  <c:v>2015Qtr1</c:v>
                </c:pt>
                <c:pt idx="41">
                  <c:v>2015Qtr2</c:v>
                </c:pt>
                <c:pt idx="42">
                  <c:v>2015Qtr3</c:v>
                </c:pt>
                <c:pt idx="43">
                  <c:v>2015Qtr4</c:v>
                </c:pt>
                <c:pt idx="44">
                  <c:v>2016Qtr1</c:v>
                </c:pt>
                <c:pt idx="45">
                  <c:v>2016Qtr2</c:v>
                </c:pt>
                <c:pt idx="46">
                  <c:v>2016Qtr3</c:v>
                </c:pt>
                <c:pt idx="47">
                  <c:v>2016Qtr4</c:v>
                </c:pt>
                <c:pt idx="48">
                  <c:v>2017Qtr1</c:v>
                </c:pt>
                <c:pt idx="49">
                  <c:v>2017Qtr2</c:v>
                </c:pt>
                <c:pt idx="50">
                  <c:v>2017Qtr3</c:v>
                </c:pt>
                <c:pt idx="51">
                  <c:v>2017Qtr4</c:v>
                </c:pt>
                <c:pt idx="52">
                  <c:v>2018Qtr1</c:v>
                </c:pt>
                <c:pt idx="53">
                  <c:v>2018Qtr2</c:v>
                </c:pt>
                <c:pt idx="54">
                  <c:v>2018Qtr3</c:v>
                </c:pt>
                <c:pt idx="55">
                  <c:v>2018Qtr4</c:v>
                </c:pt>
                <c:pt idx="56">
                  <c:v>2019Qtr1</c:v>
                </c:pt>
              </c:strCache>
            </c:strRef>
          </c:cat>
          <c:val>
            <c:numRef>
              <c:f>Sheet3!$C$4:$C$61</c:f>
              <c:numCache>
                <c:formatCode>General</c:formatCode>
                <c:ptCount val="57"/>
                <c:pt idx="0">
                  <c:v>80</c:v>
                </c:pt>
                <c:pt idx="1">
                  <c:v>71</c:v>
                </c:pt>
                <c:pt idx="2">
                  <c:v>72</c:v>
                </c:pt>
                <c:pt idx="3">
                  <c:v>75</c:v>
                </c:pt>
                <c:pt idx="4">
                  <c:v>86</c:v>
                </c:pt>
                <c:pt idx="5">
                  <c:v>78</c:v>
                </c:pt>
                <c:pt idx="6">
                  <c:v>80</c:v>
                </c:pt>
                <c:pt idx="7">
                  <c:v>88</c:v>
                </c:pt>
                <c:pt idx="8">
                  <c:v>104</c:v>
                </c:pt>
                <c:pt idx="9">
                  <c:v>91</c:v>
                </c:pt>
                <c:pt idx="10">
                  <c:v>94</c:v>
                </c:pt>
                <c:pt idx="11">
                  <c:v>101</c:v>
                </c:pt>
                <c:pt idx="12">
                  <c:v>120</c:v>
                </c:pt>
                <c:pt idx="13">
                  <c:v>102</c:v>
                </c:pt>
                <c:pt idx="14">
                  <c:v>101</c:v>
                </c:pt>
                <c:pt idx="15">
                  <c:v>105</c:v>
                </c:pt>
                <c:pt idx="16">
                  <c:v>115</c:v>
                </c:pt>
                <c:pt idx="17">
                  <c:v>102</c:v>
                </c:pt>
                <c:pt idx="18">
                  <c:v>100</c:v>
                </c:pt>
                <c:pt idx="19">
                  <c:v>103</c:v>
                </c:pt>
                <c:pt idx="20">
                  <c:v>101</c:v>
                </c:pt>
                <c:pt idx="21">
                  <c:v>95</c:v>
                </c:pt>
                <c:pt idx="22">
                  <c:v>102</c:v>
                </c:pt>
                <c:pt idx="23">
                  <c:v>109</c:v>
                </c:pt>
                <c:pt idx="24">
                  <c:v>118</c:v>
                </c:pt>
                <c:pt idx="25">
                  <c:v>104</c:v>
                </c:pt>
                <c:pt idx="26">
                  <c:v>105</c:v>
                </c:pt>
                <c:pt idx="27">
                  <c:v>112</c:v>
                </c:pt>
                <c:pt idx="28">
                  <c:v>122</c:v>
                </c:pt>
                <c:pt idx="29">
                  <c:v>95</c:v>
                </c:pt>
                <c:pt idx="30">
                  <c:v>99</c:v>
                </c:pt>
                <c:pt idx="31">
                  <c:v>105</c:v>
                </c:pt>
                <c:pt idx="32">
                  <c:v>107</c:v>
                </c:pt>
                <c:pt idx="33">
                  <c:v>85</c:v>
                </c:pt>
                <c:pt idx="34">
                  <c:v>81</c:v>
                </c:pt>
                <c:pt idx="35">
                  <c:v>85</c:v>
                </c:pt>
                <c:pt idx="36">
                  <c:v>99</c:v>
                </c:pt>
                <c:pt idx="37">
                  <c:v>78</c:v>
                </c:pt>
                <c:pt idx="38">
                  <c:v>80</c:v>
                </c:pt>
                <c:pt idx="39">
                  <c:v>89</c:v>
                </c:pt>
                <c:pt idx="40">
                  <c:v>106</c:v>
                </c:pt>
                <c:pt idx="41">
                  <c:v>81</c:v>
                </c:pt>
                <c:pt idx="42">
                  <c:v>81</c:v>
                </c:pt>
                <c:pt idx="43">
                  <c:v>88</c:v>
                </c:pt>
                <c:pt idx="44">
                  <c:v>102</c:v>
                </c:pt>
                <c:pt idx="45">
                  <c:v>78</c:v>
                </c:pt>
                <c:pt idx="46">
                  <c:v>79</c:v>
                </c:pt>
                <c:pt idx="47">
                  <c:v>84</c:v>
                </c:pt>
                <c:pt idx="48">
                  <c:v>92</c:v>
                </c:pt>
                <c:pt idx="49">
                  <c:v>70</c:v>
                </c:pt>
                <c:pt idx="50">
                  <c:v>70</c:v>
                </c:pt>
                <c:pt idx="51">
                  <c:v>74</c:v>
                </c:pt>
                <c:pt idx="52">
                  <c:v>82</c:v>
                </c:pt>
                <c:pt idx="53">
                  <c:v>64</c:v>
                </c:pt>
                <c:pt idx="54">
                  <c:v>65</c:v>
                </c:pt>
                <c:pt idx="55">
                  <c:v>71</c:v>
                </c:pt>
                <c:pt idx="56">
                  <c:v>80</c:v>
                </c:pt>
              </c:numCache>
            </c:numRef>
          </c:val>
          <c:smooth val="0"/>
          <c:extLst>
            <c:ext xmlns:c16="http://schemas.microsoft.com/office/drawing/2014/chart" uri="{C3380CC4-5D6E-409C-BE32-E72D297353CC}">
              <c16:uniqueId val="{00000000-F970-4C0B-A499-897A8A28A8E3}"/>
            </c:ext>
          </c:extLst>
        </c:ser>
        <c:dLbls>
          <c:showLegendKey val="0"/>
          <c:showVal val="0"/>
          <c:showCatName val="0"/>
          <c:showSerName val="0"/>
          <c:showPercent val="0"/>
          <c:showBubbleSize val="0"/>
        </c:dLbls>
        <c:marker val="1"/>
        <c:smooth val="0"/>
        <c:axId val="821083608"/>
        <c:axId val="821082952"/>
      </c:lineChart>
      <c:lineChart>
        <c:grouping val="standard"/>
        <c:varyColors val="0"/>
        <c:ser>
          <c:idx val="0"/>
          <c:order val="0"/>
          <c:tx>
            <c:strRef>
              <c:f>Sheet3!$B$3</c:f>
              <c:strCache>
                <c:ptCount val="1"/>
                <c:pt idx="0">
                  <c:v>Average of MRI</c:v>
                </c:pt>
              </c:strCache>
            </c:strRef>
          </c:tx>
          <c:spPr>
            <a:ln w="28575" cap="rnd">
              <a:solidFill>
                <a:schemeClr val="accent1"/>
              </a:solidFill>
              <a:round/>
            </a:ln>
            <a:effectLst/>
          </c:spPr>
          <c:marker>
            <c:symbol val="none"/>
          </c:marker>
          <c:cat>
            <c:strRef>
              <c:f>Sheet3!$A$4:$A$61</c:f>
              <c:strCache>
                <c:ptCount val="57"/>
                <c:pt idx="0">
                  <c:v>2005Qtr1</c:v>
                </c:pt>
                <c:pt idx="1">
                  <c:v>2005Qtr2</c:v>
                </c:pt>
                <c:pt idx="2">
                  <c:v>2005Qtr3</c:v>
                </c:pt>
                <c:pt idx="3">
                  <c:v>2005Qtr4</c:v>
                </c:pt>
                <c:pt idx="4">
                  <c:v>2006Qtr1</c:v>
                </c:pt>
                <c:pt idx="5">
                  <c:v>2006Qtr2</c:v>
                </c:pt>
                <c:pt idx="6">
                  <c:v>2006Qtr3</c:v>
                </c:pt>
                <c:pt idx="7">
                  <c:v>2006Qtr4</c:v>
                </c:pt>
                <c:pt idx="8">
                  <c:v>2007Qtr1</c:v>
                </c:pt>
                <c:pt idx="9">
                  <c:v>2007Qtr2</c:v>
                </c:pt>
                <c:pt idx="10">
                  <c:v>2007Qtr3</c:v>
                </c:pt>
                <c:pt idx="11">
                  <c:v>2007Qtr4</c:v>
                </c:pt>
                <c:pt idx="12">
                  <c:v>2008Qtr1</c:v>
                </c:pt>
                <c:pt idx="13">
                  <c:v>2008Qtr2</c:v>
                </c:pt>
                <c:pt idx="14">
                  <c:v>2008Qtr3</c:v>
                </c:pt>
                <c:pt idx="15">
                  <c:v>2008Qtr4</c:v>
                </c:pt>
                <c:pt idx="16">
                  <c:v>2009Qtr1</c:v>
                </c:pt>
                <c:pt idx="17">
                  <c:v>2009Qtr2</c:v>
                </c:pt>
                <c:pt idx="18">
                  <c:v>2009Qtr3</c:v>
                </c:pt>
                <c:pt idx="19">
                  <c:v>2009Qtr4</c:v>
                </c:pt>
                <c:pt idx="20">
                  <c:v>2010Qtr1</c:v>
                </c:pt>
                <c:pt idx="21">
                  <c:v>2010Qtr2</c:v>
                </c:pt>
                <c:pt idx="22">
                  <c:v>2010Qtr3</c:v>
                </c:pt>
                <c:pt idx="23">
                  <c:v>2010Qtr4</c:v>
                </c:pt>
                <c:pt idx="24">
                  <c:v>2011Qtr1</c:v>
                </c:pt>
                <c:pt idx="25">
                  <c:v>2011Qtr2</c:v>
                </c:pt>
                <c:pt idx="26">
                  <c:v>2011Qtr3</c:v>
                </c:pt>
                <c:pt idx="27">
                  <c:v>2011Qtr4</c:v>
                </c:pt>
                <c:pt idx="28">
                  <c:v>2012Qtr1</c:v>
                </c:pt>
                <c:pt idx="29">
                  <c:v>2012Qtr2</c:v>
                </c:pt>
                <c:pt idx="30">
                  <c:v>2012Qtr3</c:v>
                </c:pt>
                <c:pt idx="31">
                  <c:v>2012Qtr4</c:v>
                </c:pt>
                <c:pt idx="32">
                  <c:v>2013Qtr1</c:v>
                </c:pt>
                <c:pt idx="33">
                  <c:v>2013Qtr2</c:v>
                </c:pt>
                <c:pt idx="34">
                  <c:v>2013Qtr3</c:v>
                </c:pt>
                <c:pt idx="35">
                  <c:v>2013Qtr4</c:v>
                </c:pt>
                <c:pt idx="36">
                  <c:v>2014Qtr1</c:v>
                </c:pt>
                <c:pt idx="37">
                  <c:v>2014Qtr2</c:v>
                </c:pt>
                <c:pt idx="38">
                  <c:v>2014Qtr3</c:v>
                </c:pt>
                <c:pt idx="39">
                  <c:v>2014Qtr4</c:v>
                </c:pt>
                <c:pt idx="40">
                  <c:v>2015Qtr1</c:v>
                </c:pt>
                <c:pt idx="41">
                  <c:v>2015Qtr2</c:v>
                </c:pt>
                <c:pt idx="42">
                  <c:v>2015Qtr3</c:v>
                </c:pt>
                <c:pt idx="43">
                  <c:v>2015Qtr4</c:v>
                </c:pt>
                <c:pt idx="44">
                  <c:v>2016Qtr1</c:v>
                </c:pt>
                <c:pt idx="45">
                  <c:v>2016Qtr2</c:v>
                </c:pt>
                <c:pt idx="46">
                  <c:v>2016Qtr3</c:v>
                </c:pt>
                <c:pt idx="47">
                  <c:v>2016Qtr4</c:v>
                </c:pt>
                <c:pt idx="48">
                  <c:v>2017Qtr1</c:v>
                </c:pt>
                <c:pt idx="49">
                  <c:v>2017Qtr2</c:v>
                </c:pt>
                <c:pt idx="50">
                  <c:v>2017Qtr3</c:v>
                </c:pt>
                <c:pt idx="51">
                  <c:v>2017Qtr4</c:v>
                </c:pt>
                <c:pt idx="52">
                  <c:v>2018Qtr1</c:v>
                </c:pt>
                <c:pt idx="53">
                  <c:v>2018Qtr2</c:v>
                </c:pt>
                <c:pt idx="54">
                  <c:v>2018Qtr3</c:v>
                </c:pt>
                <c:pt idx="55">
                  <c:v>2018Qtr4</c:v>
                </c:pt>
                <c:pt idx="56">
                  <c:v>2019Qtr1</c:v>
                </c:pt>
              </c:strCache>
            </c:strRef>
          </c:cat>
          <c:val>
            <c:numRef>
              <c:f>Sheet3!$B$4:$B$61</c:f>
              <c:numCache>
                <c:formatCode>General</c:formatCode>
                <c:ptCount val="57"/>
                <c:pt idx="0">
                  <c:v>4.17</c:v>
                </c:pt>
                <c:pt idx="1">
                  <c:v>3.11</c:v>
                </c:pt>
                <c:pt idx="2">
                  <c:v>2.4900000000000002</c:v>
                </c:pt>
                <c:pt idx="3">
                  <c:v>2.44</c:v>
                </c:pt>
                <c:pt idx="4">
                  <c:v>4.6399999999999997</c:v>
                </c:pt>
                <c:pt idx="5">
                  <c:v>3.49</c:v>
                </c:pt>
                <c:pt idx="6">
                  <c:v>4.84</c:v>
                </c:pt>
                <c:pt idx="7">
                  <c:v>8.91</c:v>
                </c:pt>
                <c:pt idx="8">
                  <c:v>13.64</c:v>
                </c:pt>
                <c:pt idx="9">
                  <c:v>11.82</c:v>
                </c:pt>
                <c:pt idx="10">
                  <c:v>12.19</c:v>
                </c:pt>
                <c:pt idx="11">
                  <c:v>15.04</c:v>
                </c:pt>
                <c:pt idx="12">
                  <c:v>20.58</c:v>
                </c:pt>
                <c:pt idx="13">
                  <c:v>15.5</c:v>
                </c:pt>
                <c:pt idx="14">
                  <c:v>14.12</c:v>
                </c:pt>
                <c:pt idx="15">
                  <c:v>16.03</c:v>
                </c:pt>
                <c:pt idx="16">
                  <c:v>20.49</c:v>
                </c:pt>
                <c:pt idx="17">
                  <c:v>12.93</c:v>
                </c:pt>
                <c:pt idx="18">
                  <c:v>10.96</c:v>
                </c:pt>
                <c:pt idx="19">
                  <c:v>13.01</c:v>
                </c:pt>
                <c:pt idx="20">
                  <c:v>19.89</c:v>
                </c:pt>
                <c:pt idx="21">
                  <c:v>12.87</c:v>
                </c:pt>
                <c:pt idx="22">
                  <c:v>14.54</c:v>
                </c:pt>
                <c:pt idx="23">
                  <c:v>16.8</c:v>
                </c:pt>
                <c:pt idx="24">
                  <c:v>17.05</c:v>
                </c:pt>
                <c:pt idx="25">
                  <c:v>12.42</c:v>
                </c:pt>
                <c:pt idx="26">
                  <c:v>11.77</c:v>
                </c:pt>
                <c:pt idx="27">
                  <c:v>11.29</c:v>
                </c:pt>
                <c:pt idx="28">
                  <c:v>13.85</c:v>
                </c:pt>
                <c:pt idx="29">
                  <c:v>9.44</c:v>
                </c:pt>
                <c:pt idx="30">
                  <c:v>8.2799999999999994</c:v>
                </c:pt>
                <c:pt idx="31">
                  <c:v>7.55</c:v>
                </c:pt>
                <c:pt idx="32">
                  <c:v>9.25</c:v>
                </c:pt>
                <c:pt idx="33">
                  <c:v>6.4</c:v>
                </c:pt>
                <c:pt idx="34">
                  <c:v>5.63</c:v>
                </c:pt>
                <c:pt idx="35">
                  <c:v>5.86</c:v>
                </c:pt>
                <c:pt idx="36">
                  <c:v>9.01</c:v>
                </c:pt>
                <c:pt idx="37">
                  <c:v>6.9</c:v>
                </c:pt>
                <c:pt idx="38">
                  <c:v>6.4</c:v>
                </c:pt>
                <c:pt idx="39">
                  <c:v>6.36</c:v>
                </c:pt>
                <c:pt idx="40">
                  <c:v>9.1999999999999993</c:v>
                </c:pt>
                <c:pt idx="41">
                  <c:v>6.26</c:v>
                </c:pt>
                <c:pt idx="42">
                  <c:v>5.81</c:v>
                </c:pt>
                <c:pt idx="43">
                  <c:v>5.92</c:v>
                </c:pt>
                <c:pt idx="44">
                  <c:v>8.11</c:v>
                </c:pt>
                <c:pt idx="45">
                  <c:v>5.7</c:v>
                </c:pt>
                <c:pt idx="46">
                  <c:v>5.75</c:v>
                </c:pt>
                <c:pt idx="47">
                  <c:v>5.07</c:v>
                </c:pt>
                <c:pt idx="48">
                  <c:v>7.44</c:v>
                </c:pt>
                <c:pt idx="49">
                  <c:v>4.66</c:v>
                </c:pt>
                <c:pt idx="50">
                  <c:v>4.92</c:v>
                </c:pt>
                <c:pt idx="51">
                  <c:v>4.38</c:v>
                </c:pt>
                <c:pt idx="52">
                  <c:v>6.82</c:v>
                </c:pt>
                <c:pt idx="53">
                  <c:v>4.43</c:v>
                </c:pt>
                <c:pt idx="54">
                  <c:v>4.78</c:v>
                </c:pt>
                <c:pt idx="55">
                  <c:v>4.46</c:v>
                </c:pt>
                <c:pt idx="56">
                  <c:v>7.18</c:v>
                </c:pt>
              </c:numCache>
            </c:numRef>
          </c:val>
          <c:smooth val="0"/>
          <c:extLst>
            <c:ext xmlns:c16="http://schemas.microsoft.com/office/drawing/2014/chart" uri="{C3380CC4-5D6E-409C-BE32-E72D297353CC}">
              <c16:uniqueId val="{00000001-F970-4C0B-A499-897A8A28A8E3}"/>
            </c:ext>
          </c:extLst>
        </c:ser>
        <c:dLbls>
          <c:showLegendKey val="0"/>
          <c:showVal val="0"/>
          <c:showCatName val="0"/>
          <c:showSerName val="0"/>
          <c:showPercent val="0"/>
          <c:showBubbleSize val="0"/>
        </c:dLbls>
        <c:marker val="1"/>
        <c:smooth val="0"/>
        <c:axId val="821100336"/>
        <c:axId val="821098696"/>
      </c:lineChart>
      <c:catAx>
        <c:axId val="821083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082952"/>
        <c:crosses val="autoZero"/>
        <c:auto val="1"/>
        <c:lblAlgn val="ctr"/>
        <c:lblOffset val="100"/>
        <c:noMultiLvlLbl val="0"/>
      </c:catAx>
      <c:valAx>
        <c:axId val="821082952"/>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083608"/>
        <c:crosses val="autoZero"/>
        <c:crossBetween val="between"/>
      </c:valAx>
      <c:valAx>
        <c:axId val="8210986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1100336"/>
        <c:crosses val="max"/>
        <c:crossBetween val="between"/>
      </c:valAx>
      <c:catAx>
        <c:axId val="821100336"/>
        <c:scaling>
          <c:orientation val="minMax"/>
        </c:scaling>
        <c:delete val="1"/>
        <c:axPos val="b"/>
        <c:numFmt formatCode="General" sourceLinked="1"/>
        <c:majorTickMark val="out"/>
        <c:minorTickMark val="none"/>
        <c:tickLblPos val="nextTo"/>
        <c:crossAx val="821098696"/>
        <c:crosses val="autoZero"/>
        <c:auto val="1"/>
        <c:lblAlgn val="ctr"/>
        <c:lblOffset val="100"/>
        <c:noMultiLvlLbl val="0"/>
      </c:catAx>
      <c:spPr>
        <a:noFill/>
        <a:ln>
          <a:noFill/>
        </a:ln>
        <a:effectLst/>
      </c:spPr>
    </c:plotArea>
    <c:legend>
      <c:legendPos val="r"/>
      <c:layout>
        <c:manualLayout>
          <c:xMode val="edge"/>
          <c:yMode val="edge"/>
          <c:x val="0.63106372120151644"/>
          <c:y val="4.1777422709863482E-2"/>
          <c:w val="0.25088072324292798"/>
          <c:h val="0.106016133879291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San Diego County Single Family Average Sold Market Times and Months of Inventory Remaining By Price Range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609956955380577"/>
          <c:y val="0.10000673019946656"/>
          <c:w val="0.78015293761356752"/>
          <c:h val="0.68309223823306386"/>
        </c:manualLayout>
      </c:layout>
      <c:lineChart>
        <c:grouping val="standard"/>
        <c:varyColors val="0"/>
        <c:ser>
          <c:idx val="1"/>
          <c:order val="1"/>
          <c:tx>
            <c:strRef>
              <c:f>Sheet12!$F$1</c:f>
              <c:strCache>
                <c:ptCount val="1"/>
                <c:pt idx="0">
                  <c:v>Average of Sold DOM</c:v>
                </c:pt>
              </c:strCache>
            </c:strRef>
          </c:tx>
          <c:spPr>
            <a:ln w="28575" cap="rnd">
              <a:solidFill>
                <a:schemeClr val="accent2"/>
              </a:solidFill>
              <a:round/>
            </a:ln>
            <a:effectLst/>
          </c:spPr>
          <c:marker>
            <c:symbol val="none"/>
          </c:marker>
          <c:cat>
            <c:strRef>
              <c:f>Sheet12!$B$4:$B$32</c:f>
              <c:strCache>
                <c:ptCount val="29"/>
                <c:pt idx="0">
                  <c:v>&gt;200 and &lt;=300</c:v>
                </c:pt>
                <c:pt idx="1">
                  <c:v>&gt;300 and &lt;=400</c:v>
                </c:pt>
                <c:pt idx="2">
                  <c:v>&gt;400 and &lt;=500</c:v>
                </c:pt>
                <c:pt idx="3">
                  <c:v>&gt;500 and &lt;=600</c:v>
                </c:pt>
                <c:pt idx="4">
                  <c:v>&gt;600 and &lt;=700</c:v>
                </c:pt>
                <c:pt idx="5">
                  <c:v>&gt;700 and &lt;=800</c:v>
                </c:pt>
                <c:pt idx="6">
                  <c:v>&gt;800 and &lt;=900</c:v>
                </c:pt>
                <c:pt idx="7">
                  <c:v>&gt;900 and &lt;=1000</c:v>
                </c:pt>
                <c:pt idx="8">
                  <c:v>&gt;1000 and &lt;=1100</c:v>
                </c:pt>
                <c:pt idx="9">
                  <c:v>&gt;100 and &lt;=1200</c:v>
                </c:pt>
                <c:pt idx="10">
                  <c:v>&gt;1200 and &lt;=1300</c:v>
                </c:pt>
                <c:pt idx="11">
                  <c:v>&gt;1300 and &lt;=1400</c:v>
                </c:pt>
                <c:pt idx="12">
                  <c:v>&gt;1400 and &lt;=1500</c:v>
                </c:pt>
                <c:pt idx="13">
                  <c:v>&gt;1500 and &lt;=1600</c:v>
                </c:pt>
                <c:pt idx="14">
                  <c:v>&gt;1600 and &lt;=1700</c:v>
                </c:pt>
                <c:pt idx="15">
                  <c:v>&gt;1700 and &lt;=1800</c:v>
                </c:pt>
                <c:pt idx="16">
                  <c:v>&gt;1800 and &lt;=1900</c:v>
                </c:pt>
                <c:pt idx="17">
                  <c:v>&gt;1900 and &lt;=2000</c:v>
                </c:pt>
                <c:pt idx="18">
                  <c:v>&gt;2000 and &lt;=2100</c:v>
                </c:pt>
                <c:pt idx="19">
                  <c:v>&gt;2100 and &lt;=2200</c:v>
                </c:pt>
                <c:pt idx="20">
                  <c:v>&gt;2200 and &lt;=2300</c:v>
                </c:pt>
                <c:pt idx="21">
                  <c:v>&gt;2300 and &lt;=2400</c:v>
                </c:pt>
                <c:pt idx="22">
                  <c:v>&gt;2400 and &lt;=2500</c:v>
                </c:pt>
                <c:pt idx="23">
                  <c:v>&gt;2500 and &lt;=2600</c:v>
                </c:pt>
                <c:pt idx="24">
                  <c:v>&gt;2600 and &lt;=2700</c:v>
                </c:pt>
                <c:pt idx="25">
                  <c:v>&gt;2700 and &lt;=2800</c:v>
                </c:pt>
                <c:pt idx="26">
                  <c:v>&gt;2800 and &lt;=2900</c:v>
                </c:pt>
                <c:pt idx="27">
                  <c:v>&gt;2900 and &lt;=3000</c:v>
                </c:pt>
                <c:pt idx="28">
                  <c:v>&gt;3000</c:v>
                </c:pt>
              </c:strCache>
            </c:strRef>
          </c:cat>
          <c:val>
            <c:numRef>
              <c:f>Sheet12!$F$4:$F$32</c:f>
              <c:numCache>
                <c:formatCode>General</c:formatCode>
                <c:ptCount val="29"/>
                <c:pt idx="0">
                  <c:v>78.906976744186053</c:v>
                </c:pt>
                <c:pt idx="1">
                  <c:v>64.725604670558795</c:v>
                </c:pt>
                <c:pt idx="2">
                  <c:v>57.607766484232471</c:v>
                </c:pt>
                <c:pt idx="3">
                  <c:v>55.901596326262847</c:v>
                </c:pt>
                <c:pt idx="4">
                  <c:v>57.950788471995651</c:v>
                </c:pt>
                <c:pt idx="5">
                  <c:v>61.948558758314853</c:v>
                </c:pt>
                <c:pt idx="6">
                  <c:v>62.232947232947232</c:v>
                </c:pt>
                <c:pt idx="7">
                  <c:v>61.210245464247599</c:v>
                </c:pt>
                <c:pt idx="8">
                  <c:v>64.707086614173235</c:v>
                </c:pt>
                <c:pt idx="9">
                  <c:v>62.91127541589649</c:v>
                </c:pt>
                <c:pt idx="10">
                  <c:v>66.360416666666666</c:v>
                </c:pt>
                <c:pt idx="11">
                  <c:v>72.23372781065089</c:v>
                </c:pt>
                <c:pt idx="12">
                  <c:v>75.35146443514644</c:v>
                </c:pt>
                <c:pt idx="13">
                  <c:v>74.82233502538071</c:v>
                </c:pt>
                <c:pt idx="14">
                  <c:v>70.426966292134836</c:v>
                </c:pt>
                <c:pt idx="15">
                  <c:v>81.993333333333339</c:v>
                </c:pt>
                <c:pt idx="16">
                  <c:v>98.438596491228068</c:v>
                </c:pt>
                <c:pt idx="17">
                  <c:v>89.269230769230774</c:v>
                </c:pt>
                <c:pt idx="18">
                  <c:v>95.277108433734938</c:v>
                </c:pt>
                <c:pt idx="19">
                  <c:v>97.16</c:v>
                </c:pt>
                <c:pt idx="20">
                  <c:v>97.770270270270274</c:v>
                </c:pt>
                <c:pt idx="21">
                  <c:v>90.767857142857139</c:v>
                </c:pt>
                <c:pt idx="22">
                  <c:v>122.06382978723404</c:v>
                </c:pt>
                <c:pt idx="23">
                  <c:v>110.52272727272727</c:v>
                </c:pt>
                <c:pt idx="24">
                  <c:v>91.875</c:v>
                </c:pt>
                <c:pt idx="25">
                  <c:v>99.807692307692307</c:v>
                </c:pt>
                <c:pt idx="26">
                  <c:v>87.76</c:v>
                </c:pt>
                <c:pt idx="27">
                  <c:v>121.80645161290323</c:v>
                </c:pt>
                <c:pt idx="28">
                  <c:v>125.26729559748428</c:v>
                </c:pt>
              </c:numCache>
            </c:numRef>
          </c:val>
          <c:smooth val="0"/>
          <c:extLst>
            <c:ext xmlns:c16="http://schemas.microsoft.com/office/drawing/2014/chart" uri="{C3380CC4-5D6E-409C-BE32-E72D297353CC}">
              <c16:uniqueId val="{00000000-333B-4A63-8143-9FAEDE7F376C}"/>
            </c:ext>
          </c:extLst>
        </c:ser>
        <c:dLbls>
          <c:showLegendKey val="0"/>
          <c:showVal val="0"/>
          <c:showCatName val="0"/>
          <c:showSerName val="0"/>
          <c:showPercent val="0"/>
          <c:showBubbleSize val="0"/>
        </c:dLbls>
        <c:marker val="1"/>
        <c:smooth val="0"/>
        <c:axId val="1021607496"/>
        <c:axId val="951469120"/>
      </c:lineChart>
      <c:lineChart>
        <c:grouping val="standard"/>
        <c:varyColors val="0"/>
        <c:ser>
          <c:idx val="0"/>
          <c:order val="0"/>
          <c:tx>
            <c:strRef>
              <c:f>Sheet12!$E$1</c:f>
              <c:strCache>
                <c:ptCount val="1"/>
                <c:pt idx="0">
                  <c:v>MRI</c:v>
                </c:pt>
              </c:strCache>
            </c:strRef>
          </c:tx>
          <c:spPr>
            <a:ln w="28575" cap="rnd">
              <a:solidFill>
                <a:schemeClr val="accent1"/>
              </a:solidFill>
              <a:round/>
            </a:ln>
            <a:effectLst/>
          </c:spPr>
          <c:marker>
            <c:symbol val="none"/>
          </c:marker>
          <c:cat>
            <c:strRef>
              <c:f>Sheet12!$B$4:$B$32</c:f>
              <c:strCache>
                <c:ptCount val="29"/>
                <c:pt idx="0">
                  <c:v>&gt;200 and &lt;=300</c:v>
                </c:pt>
                <c:pt idx="1">
                  <c:v>&gt;300 and &lt;=400</c:v>
                </c:pt>
                <c:pt idx="2">
                  <c:v>&gt;400 and &lt;=500</c:v>
                </c:pt>
                <c:pt idx="3">
                  <c:v>&gt;500 and &lt;=600</c:v>
                </c:pt>
                <c:pt idx="4">
                  <c:v>&gt;600 and &lt;=700</c:v>
                </c:pt>
                <c:pt idx="5">
                  <c:v>&gt;700 and &lt;=800</c:v>
                </c:pt>
                <c:pt idx="6">
                  <c:v>&gt;800 and &lt;=900</c:v>
                </c:pt>
                <c:pt idx="7">
                  <c:v>&gt;900 and &lt;=1000</c:v>
                </c:pt>
                <c:pt idx="8">
                  <c:v>&gt;1000 and &lt;=1100</c:v>
                </c:pt>
                <c:pt idx="9">
                  <c:v>&gt;100 and &lt;=1200</c:v>
                </c:pt>
                <c:pt idx="10">
                  <c:v>&gt;1200 and &lt;=1300</c:v>
                </c:pt>
                <c:pt idx="11">
                  <c:v>&gt;1300 and &lt;=1400</c:v>
                </c:pt>
                <c:pt idx="12">
                  <c:v>&gt;1400 and &lt;=1500</c:v>
                </c:pt>
                <c:pt idx="13">
                  <c:v>&gt;1500 and &lt;=1600</c:v>
                </c:pt>
                <c:pt idx="14">
                  <c:v>&gt;1600 and &lt;=1700</c:v>
                </c:pt>
                <c:pt idx="15">
                  <c:v>&gt;1700 and &lt;=1800</c:v>
                </c:pt>
                <c:pt idx="16">
                  <c:v>&gt;1800 and &lt;=1900</c:v>
                </c:pt>
                <c:pt idx="17">
                  <c:v>&gt;1900 and &lt;=2000</c:v>
                </c:pt>
                <c:pt idx="18">
                  <c:v>&gt;2000 and &lt;=2100</c:v>
                </c:pt>
                <c:pt idx="19">
                  <c:v>&gt;2100 and &lt;=2200</c:v>
                </c:pt>
                <c:pt idx="20">
                  <c:v>&gt;2200 and &lt;=2300</c:v>
                </c:pt>
                <c:pt idx="21">
                  <c:v>&gt;2300 and &lt;=2400</c:v>
                </c:pt>
                <c:pt idx="22">
                  <c:v>&gt;2400 and &lt;=2500</c:v>
                </c:pt>
                <c:pt idx="23">
                  <c:v>&gt;2500 and &lt;=2600</c:v>
                </c:pt>
                <c:pt idx="24">
                  <c:v>&gt;2600 and &lt;=2700</c:v>
                </c:pt>
                <c:pt idx="25">
                  <c:v>&gt;2700 and &lt;=2800</c:v>
                </c:pt>
                <c:pt idx="26">
                  <c:v>&gt;2800 and &lt;=2900</c:v>
                </c:pt>
                <c:pt idx="27">
                  <c:v>&gt;2900 and &lt;=3000</c:v>
                </c:pt>
                <c:pt idx="28">
                  <c:v>&gt;3000</c:v>
                </c:pt>
              </c:strCache>
            </c:strRef>
          </c:cat>
          <c:val>
            <c:numRef>
              <c:f>Sheet12!$E$4:$E$32</c:f>
              <c:numCache>
                <c:formatCode>General</c:formatCode>
                <c:ptCount val="29"/>
                <c:pt idx="0">
                  <c:v>3.6138996138996138</c:v>
                </c:pt>
                <c:pt idx="1">
                  <c:v>1.5336099585062242</c:v>
                </c:pt>
                <c:pt idx="2">
                  <c:v>1.3709844559585491</c:v>
                </c:pt>
                <c:pt idx="3">
                  <c:v>2.0522193211488249</c:v>
                </c:pt>
                <c:pt idx="4">
                  <c:v>2.1505143475906876</c:v>
                </c:pt>
                <c:pt idx="5">
                  <c:v>2.7154830172033524</c:v>
                </c:pt>
                <c:pt idx="6">
                  <c:v>3.2015355086372361</c:v>
                </c:pt>
                <c:pt idx="7">
                  <c:v>3.3757961783439492</c:v>
                </c:pt>
                <c:pt idx="8">
                  <c:v>2.4750000000000001</c:v>
                </c:pt>
                <c:pt idx="9">
                  <c:v>3.5164835164835164</c:v>
                </c:pt>
                <c:pt idx="10">
                  <c:v>3.3858921161825726</c:v>
                </c:pt>
                <c:pt idx="11">
                  <c:v>3.8230088495575223</c:v>
                </c:pt>
                <c:pt idx="12">
                  <c:v>5.6</c:v>
                </c:pt>
                <c:pt idx="13">
                  <c:v>5.0909090909090908</c:v>
                </c:pt>
                <c:pt idx="14">
                  <c:v>6.6961325966850831</c:v>
                </c:pt>
                <c:pt idx="15">
                  <c:v>6.3157894736842106</c:v>
                </c:pt>
                <c:pt idx="16">
                  <c:v>6.8421052631578947</c:v>
                </c:pt>
                <c:pt idx="17">
                  <c:v>7.4018691588785046</c:v>
                </c:pt>
                <c:pt idx="18">
                  <c:v>3.4285714285714284</c:v>
                </c:pt>
                <c:pt idx="19">
                  <c:v>6.1578947368421053</c:v>
                </c:pt>
                <c:pt idx="20">
                  <c:v>5.8378378378378377</c:v>
                </c:pt>
                <c:pt idx="21">
                  <c:v>8.7857142857142865</c:v>
                </c:pt>
                <c:pt idx="22">
                  <c:v>9.1914893617021285</c:v>
                </c:pt>
                <c:pt idx="23">
                  <c:v>8.7272727272727266</c:v>
                </c:pt>
                <c:pt idx="24">
                  <c:v>8.1</c:v>
                </c:pt>
                <c:pt idx="25">
                  <c:v>13.846153846153847</c:v>
                </c:pt>
                <c:pt idx="26">
                  <c:v>13.384615384615385</c:v>
                </c:pt>
                <c:pt idx="27">
                  <c:v>13.548387096774194</c:v>
                </c:pt>
                <c:pt idx="28">
                  <c:v>14.613496932515337</c:v>
                </c:pt>
              </c:numCache>
            </c:numRef>
          </c:val>
          <c:smooth val="0"/>
          <c:extLst>
            <c:ext xmlns:c16="http://schemas.microsoft.com/office/drawing/2014/chart" uri="{C3380CC4-5D6E-409C-BE32-E72D297353CC}">
              <c16:uniqueId val="{00000001-333B-4A63-8143-9FAEDE7F376C}"/>
            </c:ext>
          </c:extLst>
        </c:ser>
        <c:dLbls>
          <c:showLegendKey val="0"/>
          <c:showVal val="0"/>
          <c:showCatName val="0"/>
          <c:showSerName val="0"/>
          <c:showPercent val="0"/>
          <c:showBubbleSize val="0"/>
        </c:dLbls>
        <c:marker val="1"/>
        <c:smooth val="0"/>
        <c:axId val="774143064"/>
        <c:axId val="774145688"/>
      </c:lineChart>
      <c:catAx>
        <c:axId val="102160749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b="1"/>
                  <a:t>Price Range in Thousands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951469120"/>
        <c:crosses val="autoZero"/>
        <c:auto val="1"/>
        <c:lblAlgn val="ctr"/>
        <c:lblOffset val="100"/>
        <c:noMultiLvlLbl val="0"/>
      </c:catAx>
      <c:valAx>
        <c:axId val="951469120"/>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b="1"/>
                  <a:t>Average Sold Market Time</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1021607496"/>
        <c:crosses val="autoZero"/>
        <c:crossBetween val="between"/>
      </c:valAx>
      <c:valAx>
        <c:axId val="774145688"/>
        <c:scaling>
          <c:orientation val="minMax"/>
        </c:scaling>
        <c:delete val="0"/>
        <c:axPos val="r"/>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US" sz="1200" b="1"/>
                  <a:t>Number of Months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774143064"/>
        <c:crosses val="max"/>
        <c:crossBetween val="between"/>
      </c:valAx>
      <c:catAx>
        <c:axId val="774143064"/>
        <c:scaling>
          <c:orientation val="minMax"/>
        </c:scaling>
        <c:delete val="1"/>
        <c:axPos val="b"/>
        <c:numFmt formatCode="General" sourceLinked="1"/>
        <c:majorTickMark val="out"/>
        <c:minorTickMark val="none"/>
        <c:tickLblPos val="nextTo"/>
        <c:crossAx val="774145688"/>
        <c:crosses val="autoZero"/>
        <c:auto val="1"/>
        <c:lblAlgn val="ctr"/>
        <c:lblOffset val="100"/>
        <c:noMultiLvlLbl val="0"/>
      </c:catAx>
      <c:spPr>
        <a:noFill/>
        <a:ln>
          <a:noFill/>
        </a:ln>
        <a:effectLst/>
      </c:spPr>
    </c:plotArea>
    <c:legend>
      <c:legendPos val="r"/>
      <c:layout>
        <c:manualLayout>
          <c:xMode val="edge"/>
          <c:yMode val="edge"/>
          <c:x val="0.14571825156470825"/>
          <c:y val="0.12746385196474097"/>
          <c:w val="0.27828571909280569"/>
          <c:h val="0.1416767796498556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6860C5-280C-4A01-AA24-0860A42BE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4804</Words>
  <Characters>27389</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Norman Miller</dc:creator>
  <cp:keywords/>
  <dc:description/>
  <cp:lastModifiedBy>Norman Miller</cp:lastModifiedBy>
  <cp:revision>2</cp:revision>
  <dcterms:created xsi:type="dcterms:W3CDTF">2019-07-08T19:10:00Z</dcterms:created>
  <dcterms:modified xsi:type="dcterms:W3CDTF">2019-07-08T19:10:00Z</dcterms:modified>
</cp:coreProperties>
</file>